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847" w:type="dxa"/>
        <w:tblInd w:w="720" w:type="dxa"/>
        <w:tblLook w:val="04A0" w:firstRow="1" w:lastRow="0" w:firstColumn="1" w:lastColumn="0" w:noHBand="0" w:noVBand="1"/>
      </w:tblPr>
      <w:tblGrid>
        <w:gridCol w:w="1094"/>
        <w:gridCol w:w="6785"/>
        <w:gridCol w:w="1153"/>
        <w:gridCol w:w="1134"/>
        <w:gridCol w:w="3681"/>
      </w:tblGrid>
      <w:tr w:rsidR="00C9213C" w:rsidTr="00C9213C">
        <w:tc>
          <w:tcPr>
            <w:tcW w:w="0" w:type="auto"/>
            <w:tcBorders>
              <w:bottom w:val="single" w:sz="4" w:space="0" w:color="auto"/>
            </w:tcBorders>
            <w:shd w:val="clear" w:color="auto" w:fill="D9D9D9" w:themeFill="background1" w:themeFillShade="D9"/>
          </w:tcPr>
          <w:p w:rsidR="00C9213C" w:rsidRPr="00940C9E" w:rsidRDefault="00C9213C" w:rsidP="00E35376">
            <w:pPr>
              <w:keepNext/>
              <w:jc w:val="both"/>
              <w:rPr>
                <w:b/>
              </w:rPr>
            </w:pPr>
            <w:r w:rsidRPr="00940C9E">
              <w:rPr>
                <w:b/>
              </w:rPr>
              <w:t>Guideline</w:t>
            </w:r>
          </w:p>
        </w:tc>
        <w:tc>
          <w:tcPr>
            <w:tcW w:w="6785" w:type="dxa"/>
            <w:tcBorders>
              <w:bottom w:val="single" w:sz="4" w:space="0" w:color="auto"/>
            </w:tcBorders>
            <w:shd w:val="clear" w:color="auto" w:fill="D9D9D9" w:themeFill="background1" w:themeFillShade="D9"/>
          </w:tcPr>
          <w:p w:rsidR="00C9213C" w:rsidRPr="00940C9E" w:rsidRDefault="00C9213C" w:rsidP="00E35376">
            <w:pPr>
              <w:keepNext/>
              <w:jc w:val="both"/>
              <w:rPr>
                <w:b/>
              </w:rPr>
            </w:pPr>
            <w:r w:rsidRPr="00940C9E">
              <w:rPr>
                <w:b/>
              </w:rPr>
              <w:t>Principle</w:t>
            </w:r>
          </w:p>
        </w:tc>
        <w:tc>
          <w:tcPr>
            <w:tcW w:w="1153" w:type="dxa"/>
            <w:tcBorders>
              <w:bottom w:val="single" w:sz="4" w:space="0" w:color="auto"/>
            </w:tcBorders>
            <w:shd w:val="clear" w:color="auto" w:fill="D9D9D9" w:themeFill="background1" w:themeFillShade="D9"/>
          </w:tcPr>
          <w:p w:rsidR="00C9213C" w:rsidRDefault="00C9213C" w:rsidP="00E35376">
            <w:pPr>
              <w:keepNext/>
              <w:jc w:val="both"/>
              <w:rPr>
                <w:b/>
              </w:rPr>
            </w:pPr>
            <w:r>
              <w:rPr>
                <w:b/>
              </w:rPr>
              <w:t>Principle applicable</w:t>
            </w:r>
          </w:p>
          <w:p w:rsidR="00C9213C" w:rsidRDefault="00C9213C" w:rsidP="00E35376">
            <w:pPr>
              <w:keepNext/>
              <w:jc w:val="both"/>
              <w:rPr>
                <w:b/>
              </w:rPr>
            </w:pPr>
          </w:p>
          <w:p w:rsidR="00C9213C" w:rsidRPr="00940C9E" w:rsidRDefault="00C9213C" w:rsidP="00E35376">
            <w:pPr>
              <w:keepNext/>
              <w:jc w:val="both"/>
              <w:rPr>
                <w:b/>
              </w:rPr>
            </w:pPr>
            <w:r>
              <w:rPr>
                <w:b/>
              </w:rPr>
              <w:t>(Yes/No)</w:t>
            </w:r>
          </w:p>
        </w:tc>
        <w:tc>
          <w:tcPr>
            <w:tcW w:w="1134" w:type="dxa"/>
            <w:tcBorders>
              <w:bottom w:val="single" w:sz="4" w:space="0" w:color="auto"/>
            </w:tcBorders>
            <w:shd w:val="clear" w:color="auto" w:fill="D9D9D9" w:themeFill="background1" w:themeFillShade="D9"/>
          </w:tcPr>
          <w:p w:rsidR="00C9213C" w:rsidRDefault="00C9213C" w:rsidP="00E35376">
            <w:pPr>
              <w:keepNext/>
              <w:jc w:val="both"/>
              <w:rPr>
                <w:b/>
              </w:rPr>
            </w:pPr>
            <w:r w:rsidRPr="00940C9E">
              <w:rPr>
                <w:b/>
              </w:rPr>
              <w:t>Complied with</w:t>
            </w:r>
          </w:p>
          <w:p w:rsidR="00C9213C" w:rsidRDefault="00C9213C" w:rsidP="00E35376">
            <w:pPr>
              <w:keepNext/>
              <w:jc w:val="both"/>
              <w:rPr>
                <w:b/>
              </w:rPr>
            </w:pPr>
          </w:p>
          <w:p w:rsidR="00C9213C" w:rsidRPr="00940C9E" w:rsidRDefault="00C9213C" w:rsidP="00C9213C">
            <w:pPr>
              <w:keepNext/>
              <w:jc w:val="both"/>
              <w:rPr>
                <w:b/>
              </w:rPr>
            </w:pPr>
            <w:r>
              <w:rPr>
                <w:b/>
              </w:rPr>
              <w:t>(Yes/No)</w:t>
            </w:r>
          </w:p>
        </w:tc>
        <w:tc>
          <w:tcPr>
            <w:tcW w:w="3681" w:type="dxa"/>
            <w:tcBorders>
              <w:bottom w:val="single" w:sz="4" w:space="0" w:color="auto"/>
            </w:tcBorders>
            <w:shd w:val="clear" w:color="auto" w:fill="D9D9D9" w:themeFill="background1" w:themeFillShade="D9"/>
          </w:tcPr>
          <w:p w:rsidR="00C9213C" w:rsidRPr="00940C9E" w:rsidRDefault="00C9213C" w:rsidP="00FD6C9B">
            <w:pPr>
              <w:keepNext/>
              <w:jc w:val="both"/>
              <w:rPr>
                <w:b/>
              </w:rPr>
            </w:pPr>
            <w:r>
              <w:rPr>
                <w:b/>
              </w:rPr>
              <w:t xml:space="preserve">Notes / </w:t>
            </w:r>
            <w:r w:rsidRPr="00940C9E">
              <w:rPr>
                <w:b/>
              </w:rPr>
              <w:t xml:space="preserve">Justification for </w:t>
            </w:r>
            <w:r>
              <w:rPr>
                <w:b/>
              </w:rPr>
              <w:t xml:space="preserve">any </w:t>
            </w:r>
            <w:r w:rsidRPr="00940C9E">
              <w:rPr>
                <w:b/>
              </w:rPr>
              <w:t xml:space="preserve">departure </w:t>
            </w:r>
          </w:p>
        </w:tc>
      </w:tr>
      <w:tr w:rsidR="00C9213C" w:rsidTr="00C9213C">
        <w:tc>
          <w:tcPr>
            <w:tcW w:w="13847" w:type="dxa"/>
            <w:gridSpan w:val="5"/>
            <w:shd w:val="clear" w:color="auto" w:fill="D9D9D9" w:themeFill="background1" w:themeFillShade="D9"/>
          </w:tcPr>
          <w:p w:rsidR="00C9213C" w:rsidRDefault="00C9213C" w:rsidP="00E35376">
            <w:pPr>
              <w:keepNext/>
              <w:jc w:val="both"/>
            </w:pPr>
          </w:p>
          <w:p w:rsidR="00C9213C" w:rsidRPr="00940C9E" w:rsidRDefault="00C9213C" w:rsidP="00C9213C">
            <w:pPr>
              <w:keepNext/>
              <w:tabs>
                <w:tab w:val="left" w:pos="2321"/>
                <w:tab w:val="center" w:pos="4153"/>
              </w:tabs>
              <w:jc w:val="center"/>
              <w:rPr>
                <w:b/>
              </w:rPr>
            </w:pPr>
            <w:r w:rsidRPr="00940C9E">
              <w:rPr>
                <w:b/>
              </w:rPr>
              <w:t>Chapter 1: Defining the policy objective</w:t>
            </w:r>
          </w:p>
          <w:p w:rsidR="00C9213C" w:rsidRDefault="00C9213C" w:rsidP="00E35376">
            <w:pPr>
              <w:keepNext/>
              <w:jc w:val="both"/>
            </w:pPr>
          </w:p>
        </w:tc>
      </w:tr>
      <w:tr w:rsidR="00C9213C" w:rsidTr="00C9213C">
        <w:tc>
          <w:tcPr>
            <w:tcW w:w="0" w:type="auto"/>
          </w:tcPr>
          <w:p w:rsidR="00C9213C" w:rsidRPr="00AD5FE7" w:rsidRDefault="00C9213C" w:rsidP="00AD5FE7">
            <w:pPr>
              <w:keepNext/>
              <w:rPr>
                <w:i/>
              </w:rPr>
            </w:pPr>
            <w:r w:rsidRPr="00AD5FE7">
              <w:rPr>
                <w:i/>
              </w:rPr>
              <w:t>1.1</w:t>
            </w:r>
          </w:p>
        </w:tc>
        <w:tc>
          <w:tcPr>
            <w:tcW w:w="6785" w:type="dxa"/>
          </w:tcPr>
          <w:p w:rsidR="00C9213C" w:rsidRPr="00E35376" w:rsidRDefault="00C9213C" w:rsidP="00E35376">
            <w:pPr>
              <w:keepNext/>
              <w:jc w:val="both"/>
              <w:rPr>
                <w:i/>
              </w:rPr>
            </w:pPr>
            <w:r w:rsidRPr="00E35376">
              <w:rPr>
                <w:i/>
              </w:rPr>
              <w:t>The policy objective must be clearly defined and discernible.</w:t>
            </w:r>
          </w:p>
          <w:p w:rsidR="00C9213C" w:rsidRDefault="00C9213C" w:rsidP="00E35376">
            <w:pPr>
              <w:keepNext/>
              <w:jc w:val="both"/>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bookmarkStart w:id="0" w:name="_GoBack"/>
            <w:bookmarkEnd w:id="0"/>
          </w:p>
        </w:tc>
      </w:tr>
      <w:tr w:rsidR="00C9213C" w:rsidTr="00C9213C">
        <w:tc>
          <w:tcPr>
            <w:tcW w:w="0" w:type="auto"/>
          </w:tcPr>
          <w:p w:rsidR="00C9213C" w:rsidRPr="00E35376" w:rsidRDefault="00C9213C" w:rsidP="00E35376">
            <w:pPr>
              <w:keepNext/>
              <w:jc w:val="both"/>
              <w:rPr>
                <w:i/>
              </w:rPr>
            </w:pPr>
            <w:r>
              <w:rPr>
                <w:i/>
              </w:rPr>
              <w:t>1.2</w:t>
            </w:r>
          </w:p>
        </w:tc>
        <w:tc>
          <w:tcPr>
            <w:tcW w:w="6785" w:type="dxa"/>
          </w:tcPr>
          <w:p w:rsidR="00C9213C" w:rsidRPr="00E35376" w:rsidRDefault="00C9213C" w:rsidP="00E35376">
            <w:pPr>
              <w:keepNext/>
              <w:jc w:val="both"/>
              <w:rPr>
                <w:i/>
              </w:rPr>
            </w:pPr>
            <w:r w:rsidRPr="00E35376">
              <w:rPr>
                <w:i/>
              </w:rPr>
              <w:t>All alternative means to legislation should be considered.</w:t>
            </w:r>
          </w:p>
          <w:p w:rsidR="00C9213C" w:rsidRDefault="00C9213C" w:rsidP="00E35376">
            <w:pPr>
              <w:keepNext/>
              <w:jc w:val="both"/>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0" w:type="auto"/>
          </w:tcPr>
          <w:p w:rsidR="00C9213C" w:rsidRDefault="00C9213C" w:rsidP="00E35376">
            <w:pPr>
              <w:keepNext/>
              <w:jc w:val="both"/>
              <w:rPr>
                <w:i/>
              </w:rPr>
            </w:pPr>
            <w:r>
              <w:rPr>
                <w:i/>
              </w:rPr>
              <w:t>1.3</w:t>
            </w:r>
          </w:p>
        </w:tc>
        <w:tc>
          <w:tcPr>
            <w:tcW w:w="6785" w:type="dxa"/>
          </w:tcPr>
          <w:p w:rsidR="00C9213C" w:rsidRPr="00E35376" w:rsidRDefault="00C9213C" w:rsidP="00AD5FE7">
            <w:pPr>
              <w:keepNext/>
              <w:jc w:val="both"/>
              <w:rPr>
                <w:i/>
              </w:rPr>
            </w:pPr>
            <w:r w:rsidRPr="00E35376">
              <w:rPr>
                <w:i/>
              </w:rPr>
              <w:t>All relevant government departments should be consulted at an early stage.</w:t>
            </w:r>
          </w:p>
          <w:p w:rsidR="00C9213C" w:rsidRPr="00E35376" w:rsidRDefault="00C9213C" w:rsidP="00E35376">
            <w:pPr>
              <w:keepNext/>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0" w:type="auto"/>
          </w:tcPr>
          <w:p w:rsidR="00C9213C" w:rsidRDefault="00C9213C" w:rsidP="00E35376">
            <w:pPr>
              <w:keepNext/>
              <w:jc w:val="both"/>
              <w:rPr>
                <w:i/>
              </w:rPr>
            </w:pPr>
            <w:r>
              <w:rPr>
                <w:i/>
              </w:rPr>
              <w:t>1.4</w:t>
            </w:r>
          </w:p>
        </w:tc>
        <w:tc>
          <w:tcPr>
            <w:tcW w:w="6785" w:type="dxa"/>
          </w:tcPr>
          <w:p w:rsidR="00C9213C" w:rsidRPr="00E35376" w:rsidRDefault="00C9213C" w:rsidP="00AD5FE7">
            <w:pPr>
              <w:keepNext/>
              <w:jc w:val="both"/>
              <w:rPr>
                <w:i/>
              </w:rPr>
            </w:pPr>
            <w:r w:rsidRPr="00E35376">
              <w:rPr>
                <w:i/>
              </w:rPr>
              <w:t>Public consultation should take place.</w:t>
            </w:r>
          </w:p>
          <w:p w:rsidR="00C9213C" w:rsidRPr="00E35376" w:rsidRDefault="00C9213C" w:rsidP="00AD5FE7">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0" w:type="auto"/>
            <w:tcBorders>
              <w:bottom w:val="single" w:sz="4" w:space="0" w:color="auto"/>
            </w:tcBorders>
          </w:tcPr>
          <w:p w:rsidR="00C9213C" w:rsidRDefault="00C9213C" w:rsidP="00E35376">
            <w:pPr>
              <w:keepNext/>
              <w:jc w:val="both"/>
              <w:rPr>
                <w:i/>
              </w:rPr>
            </w:pPr>
            <w:r>
              <w:rPr>
                <w:i/>
              </w:rPr>
              <w:t>1.5</w:t>
            </w:r>
          </w:p>
        </w:tc>
        <w:tc>
          <w:tcPr>
            <w:tcW w:w="6785" w:type="dxa"/>
            <w:tcBorders>
              <w:bottom w:val="single" w:sz="4" w:space="0" w:color="auto"/>
            </w:tcBorders>
          </w:tcPr>
          <w:p w:rsidR="00C9213C" w:rsidRPr="00E35376" w:rsidRDefault="00C9213C" w:rsidP="00AD5FE7">
            <w:pPr>
              <w:keepNext/>
              <w:jc w:val="both"/>
              <w:rPr>
                <w:i/>
              </w:rPr>
            </w:pPr>
            <w:r w:rsidRPr="00E35376">
              <w:rPr>
                <w:i/>
              </w:rPr>
              <w:t xml:space="preserve">The provisions of the proposed legislation should be consistent with its purpose and the policy that underlies it. </w:t>
            </w:r>
          </w:p>
          <w:p w:rsidR="00C9213C" w:rsidRPr="00E35376" w:rsidRDefault="00C9213C" w:rsidP="00AD5FE7">
            <w:pPr>
              <w:keepNext/>
              <w:jc w:val="both"/>
              <w:rPr>
                <w:i/>
              </w:rPr>
            </w:pPr>
          </w:p>
        </w:tc>
        <w:tc>
          <w:tcPr>
            <w:tcW w:w="1153" w:type="dxa"/>
            <w:tcBorders>
              <w:bottom w:val="single" w:sz="4" w:space="0" w:color="auto"/>
            </w:tcBorders>
          </w:tcPr>
          <w:p w:rsidR="00C9213C" w:rsidRDefault="00C9213C" w:rsidP="00E35376">
            <w:pPr>
              <w:keepNext/>
              <w:jc w:val="both"/>
            </w:pPr>
          </w:p>
        </w:tc>
        <w:tc>
          <w:tcPr>
            <w:tcW w:w="1134" w:type="dxa"/>
            <w:tcBorders>
              <w:bottom w:val="single" w:sz="4" w:space="0" w:color="auto"/>
            </w:tcBorders>
          </w:tcPr>
          <w:p w:rsidR="00C9213C" w:rsidRDefault="00C9213C" w:rsidP="00E35376">
            <w:pPr>
              <w:keepNext/>
              <w:jc w:val="both"/>
            </w:pPr>
          </w:p>
        </w:tc>
        <w:tc>
          <w:tcPr>
            <w:tcW w:w="3681" w:type="dxa"/>
            <w:tcBorders>
              <w:bottom w:val="single" w:sz="4" w:space="0" w:color="auto"/>
            </w:tcBorders>
          </w:tcPr>
          <w:p w:rsidR="00C9213C" w:rsidRDefault="00C9213C" w:rsidP="00E35376">
            <w:pPr>
              <w:keepNext/>
              <w:jc w:val="both"/>
            </w:pPr>
          </w:p>
        </w:tc>
      </w:tr>
      <w:tr w:rsidR="00C9213C" w:rsidTr="00A2418E">
        <w:tc>
          <w:tcPr>
            <w:tcW w:w="13847" w:type="dxa"/>
            <w:gridSpan w:val="5"/>
            <w:shd w:val="clear" w:color="auto" w:fill="D9D9D9" w:themeFill="background1" w:themeFillShade="D9"/>
          </w:tcPr>
          <w:p w:rsidR="00C9213C" w:rsidRDefault="00C9213C" w:rsidP="00E35376">
            <w:pPr>
              <w:keepNext/>
              <w:jc w:val="both"/>
            </w:pPr>
          </w:p>
          <w:p w:rsidR="00C9213C" w:rsidRPr="00940C9E" w:rsidRDefault="00C9213C" w:rsidP="00AD5FE7">
            <w:pPr>
              <w:keepNext/>
              <w:jc w:val="center"/>
              <w:rPr>
                <w:b/>
              </w:rPr>
            </w:pPr>
            <w:r w:rsidRPr="00940C9E">
              <w:rPr>
                <w:b/>
              </w:rPr>
              <w:t>Chapter 2: How new legislation relates to the existing law</w:t>
            </w:r>
          </w:p>
          <w:p w:rsidR="00C9213C" w:rsidRDefault="00C9213C" w:rsidP="00E35376">
            <w:pPr>
              <w:keepNext/>
              <w:jc w:val="both"/>
            </w:pPr>
          </w:p>
        </w:tc>
      </w:tr>
      <w:tr w:rsidR="00C9213C" w:rsidTr="00C9213C">
        <w:tc>
          <w:tcPr>
            <w:tcW w:w="0" w:type="auto"/>
          </w:tcPr>
          <w:p w:rsidR="00C9213C" w:rsidRDefault="00C9213C" w:rsidP="00E35376">
            <w:pPr>
              <w:keepNext/>
              <w:jc w:val="both"/>
              <w:rPr>
                <w:i/>
              </w:rPr>
            </w:pPr>
            <w:r>
              <w:rPr>
                <w:i/>
              </w:rPr>
              <w:t>2.1</w:t>
            </w:r>
          </w:p>
        </w:tc>
        <w:tc>
          <w:tcPr>
            <w:tcW w:w="6785" w:type="dxa"/>
          </w:tcPr>
          <w:p w:rsidR="00C9213C" w:rsidRPr="00E35376" w:rsidRDefault="00C9213C" w:rsidP="00563FC1">
            <w:pPr>
              <w:keepNext/>
              <w:rPr>
                <w:i/>
              </w:rPr>
            </w:pPr>
            <w:r w:rsidRPr="00E35376">
              <w:rPr>
                <w:i/>
              </w:rPr>
              <w:t>Any existing legislation that relates to the same matters or implements similar policies to those of the proposed legislation should be identified.</w:t>
            </w:r>
          </w:p>
          <w:p w:rsidR="00C9213C" w:rsidRPr="00E35376" w:rsidRDefault="00C9213C" w:rsidP="00563FC1">
            <w:pPr>
              <w:keepNext/>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0" w:type="auto"/>
          </w:tcPr>
          <w:p w:rsidR="00C9213C" w:rsidRDefault="00C9213C" w:rsidP="00E35376">
            <w:pPr>
              <w:keepNext/>
              <w:jc w:val="both"/>
              <w:rPr>
                <w:i/>
              </w:rPr>
            </w:pPr>
            <w:r>
              <w:rPr>
                <w:i/>
              </w:rPr>
              <w:t>2.2</w:t>
            </w:r>
          </w:p>
        </w:tc>
        <w:tc>
          <w:tcPr>
            <w:tcW w:w="6785" w:type="dxa"/>
          </w:tcPr>
          <w:p w:rsidR="00C9213C" w:rsidRPr="00E35376" w:rsidRDefault="00C9213C" w:rsidP="00563FC1">
            <w:pPr>
              <w:keepNext/>
              <w:rPr>
                <w:i/>
              </w:rPr>
            </w:pPr>
            <w:r w:rsidRPr="00E35376">
              <w:rPr>
                <w:i/>
              </w:rPr>
              <w:t>Any conflict or interactions between new and existing legislation should be explicitly addressed in the new legislation.</w:t>
            </w:r>
          </w:p>
          <w:p w:rsidR="00C9213C" w:rsidRPr="00E35376" w:rsidRDefault="00C9213C" w:rsidP="00563FC1">
            <w:pPr>
              <w:keepNext/>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0" w:type="auto"/>
          </w:tcPr>
          <w:p w:rsidR="00C9213C" w:rsidRDefault="00C9213C" w:rsidP="00E35376">
            <w:pPr>
              <w:keepNext/>
              <w:jc w:val="both"/>
              <w:rPr>
                <w:i/>
              </w:rPr>
            </w:pPr>
            <w:r>
              <w:rPr>
                <w:i/>
              </w:rPr>
              <w:t>2.3</w:t>
            </w:r>
          </w:p>
        </w:tc>
        <w:tc>
          <w:tcPr>
            <w:tcW w:w="6785" w:type="dxa"/>
          </w:tcPr>
          <w:p w:rsidR="00C9213C" w:rsidRPr="00E35376" w:rsidRDefault="00C9213C" w:rsidP="00563FC1">
            <w:pPr>
              <w:keepNext/>
              <w:rPr>
                <w:i/>
              </w:rPr>
            </w:pPr>
            <w:r w:rsidRPr="00E35376">
              <w:rPr>
                <w:i/>
              </w:rPr>
              <w:t>New legislation should not re-state matters that are already addressed in existing legislation.</w:t>
            </w:r>
          </w:p>
          <w:p w:rsidR="00C9213C" w:rsidRPr="00E35376" w:rsidRDefault="00C9213C" w:rsidP="00563FC1">
            <w:pPr>
              <w:keepNext/>
              <w:ind w:left="720"/>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0" w:type="auto"/>
          </w:tcPr>
          <w:p w:rsidR="00C9213C" w:rsidRDefault="00C9213C" w:rsidP="00E35376">
            <w:pPr>
              <w:keepNext/>
              <w:jc w:val="both"/>
              <w:rPr>
                <w:i/>
              </w:rPr>
            </w:pPr>
            <w:r>
              <w:rPr>
                <w:i/>
              </w:rPr>
              <w:t>2.4</w:t>
            </w:r>
          </w:p>
        </w:tc>
        <w:tc>
          <w:tcPr>
            <w:tcW w:w="6785" w:type="dxa"/>
          </w:tcPr>
          <w:p w:rsidR="00C9213C" w:rsidRPr="00E35376" w:rsidRDefault="00C9213C" w:rsidP="00563FC1">
            <w:pPr>
              <w:keepNext/>
              <w:rPr>
                <w:i/>
              </w:rPr>
            </w:pPr>
            <w:r w:rsidRPr="00E35376">
              <w:rPr>
                <w:i/>
              </w:rPr>
              <w:t>Relevant common law rules and principles should be identified.</w:t>
            </w:r>
          </w:p>
          <w:p w:rsidR="00C9213C" w:rsidRPr="00E35376" w:rsidRDefault="00C9213C" w:rsidP="00563FC1">
            <w:pPr>
              <w:keepNext/>
              <w:ind w:left="720"/>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0" w:type="auto"/>
          </w:tcPr>
          <w:p w:rsidR="00C9213C" w:rsidRDefault="00C9213C" w:rsidP="00E35376">
            <w:pPr>
              <w:keepNext/>
              <w:jc w:val="both"/>
              <w:rPr>
                <w:i/>
              </w:rPr>
            </w:pPr>
            <w:r>
              <w:rPr>
                <w:i/>
              </w:rPr>
              <w:t>2.5</w:t>
            </w:r>
          </w:p>
        </w:tc>
        <w:tc>
          <w:tcPr>
            <w:tcW w:w="6785" w:type="dxa"/>
          </w:tcPr>
          <w:p w:rsidR="00C9213C" w:rsidRPr="00E35376" w:rsidRDefault="00C9213C" w:rsidP="00563FC1">
            <w:pPr>
              <w:keepNext/>
              <w:rPr>
                <w:i/>
              </w:rPr>
            </w:pPr>
            <w:r w:rsidRPr="00E35376">
              <w:rPr>
                <w:i/>
              </w:rPr>
              <w:t>Any conflict or interaction between new legislation and the common law should be explicitly addressed in the new legislation.</w:t>
            </w:r>
          </w:p>
          <w:p w:rsidR="00C9213C" w:rsidRPr="00E35376" w:rsidRDefault="00C9213C" w:rsidP="00563FC1">
            <w:pPr>
              <w:keepNext/>
              <w:ind w:left="720"/>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0" w:type="auto"/>
          </w:tcPr>
          <w:p w:rsidR="00C9213C" w:rsidRDefault="00C9213C" w:rsidP="00E35376">
            <w:pPr>
              <w:keepNext/>
              <w:jc w:val="both"/>
              <w:rPr>
                <w:i/>
              </w:rPr>
            </w:pPr>
            <w:r>
              <w:rPr>
                <w:i/>
              </w:rPr>
              <w:t>2.6</w:t>
            </w:r>
          </w:p>
        </w:tc>
        <w:tc>
          <w:tcPr>
            <w:tcW w:w="6785" w:type="dxa"/>
          </w:tcPr>
          <w:p w:rsidR="00C9213C" w:rsidRPr="00E35376" w:rsidRDefault="00C9213C" w:rsidP="00563FC1">
            <w:pPr>
              <w:keepNext/>
              <w:rPr>
                <w:i/>
              </w:rPr>
            </w:pPr>
            <w:r w:rsidRPr="00E35376">
              <w:rPr>
                <w:i/>
              </w:rPr>
              <w:t xml:space="preserve">New legislation should not address matters that are already satisfactorily dealt with by the common law. </w:t>
            </w:r>
          </w:p>
          <w:p w:rsidR="00C9213C" w:rsidRPr="00E35376" w:rsidRDefault="00C9213C" w:rsidP="00563FC1">
            <w:pPr>
              <w:keepNext/>
              <w:ind w:left="720"/>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0" w:type="auto"/>
          </w:tcPr>
          <w:p w:rsidR="00C9213C" w:rsidRDefault="00C9213C" w:rsidP="00E35376">
            <w:pPr>
              <w:keepNext/>
              <w:jc w:val="both"/>
              <w:rPr>
                <w:i/>
              </w:rPr>
            </w:pPr>
            <w:r>
              <w:rPr>
                <w:i/>
              </w:rPr>
              <w:t>2.7</w:t>
            </w:r>
          </w:p>
        </w:tc>
        <w:tc>
          <w:tcPr>
            <w:tcW w:w="6785" w:type="dxa"/>
          </w:tcPr>
          <w:p w:rsidR="00C9213C" w:rsidRPr="00E35376" w:rsidRDefault="00C9213C" w:rsidP="00563FC1">
            <w:pPr>
              <w:keepNext/>
              <w:rPr>
                <w:i/>
              </w:rPr>
            </w:pPr>
            <w:r w:rsidRPr="00E35376">
              <w:rPr>
                <w:i/>
              </w:rPr>
              <w:t>Precedents from existing legislation should only be used if they are consistent with the scheme and purpose of the new legislation.</w:t>
            </w:r>
          </w:p>
          <w:p w:rsidR="00C9213C" w:rsidRPr="00E35376" w:rsidRDefault="00C9213C" w:rsidP="00563FC1">
            <w:pPr>
              <w:keepNext/>
              <w:ind w:left="720"/>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91086D">
        <w:tc>
          <w:tcPr>
            <w:tcW w:w="13847" w:type="dxa"/>
            <w:gridSpan w:val="5"/>
            <w:shd w:val="clear" w:color="auto" w:fill="D9D9D9" w:themeFill="background1" w:themeFillShade="D9"/>
          </w:tcPr>
          <w:p w:rsidR="00C9213C" w:rsidRDefault="00C9213C" w:rsidP="00E35376">
            <w:pPr>
              <w:keepNext/>
              <w:jc w:val="both"/>
            </w:pPr>
          </w:p>
          <w:p w:rsidR="00C9213C" w:rsidRPr="00940C9E" w:rsidRDefault="00C9213C" w:rsidP="00940C9E">
            <w:pPr>
              <w:keepNext/>
              <w:jc w:val="center"/>
              <w:rPr>
                <w:b/>
              </w:rPr>
            </w:pPr>
            <w:r w:rsidRPr="00940C9E">
              <w:rPr>
                <w:b/>
              </w:rPr>
              <w:t>Chapter 3: Basic constitutional principles and values of New Zealand law</w:t>
            </w:r>
          </w:p>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3.1</w:t>
            </w:r>
          </w:p>
        </w:tc>
        <w:tc>
          <w:tcPr>
            <w:tcW w:w="6785" w:type="dxa"/>
          </w:tcPr>
          <w:p w:rsidR="00C9213C" w:rsidRPr="00E35376" w:rsidRDefault="00C9213C" w:rsidP="00563FC1">
            <w:pPr>
              <w:keepNext/>
              <w:jc w:val="both"/>
              <w:rPr>
                <w:i/>
              </w:rPr>
            </w:pPr>
            <w:r w:rsidRPr="00E35376">
              <w:rPr>
                <w:i/>
              </w:rPr>
              <w:t>New legislation should respect the basic constitutional principles of New Zealand law.</w:t>
            </w:r>
          </w:p>
          <w:p w:rsidR="00C9213C" w:rsidRPr="00E35376" w:rsidRDefault="00C9213C" w:rsidP="00563FC1">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p>
        </w:tc>
        <w:tc>
          <w:tcPr>
            <w:tcW w:w="6785" w:type="dxa"/>
          </w:tcPr>
          <w:p w:rsidR="00C9213C" w:rsidRPr="00E35376" w:rsidRDefault="00C9213C" w:rsidP="00563FC1">
            <w:pPr>
              <w:keepNext/>
              <w:jc w:val="both"/>
              <w:rPr>
                <w:i/>
              </w:rPr>
            </w:pPr>
            <w:r w:rsidRPr="00E35376">
              <w:rPr>
                <w:i/>
              </w:rPr>
              <w:t>New legislation must respect the principles of the Treaty of Waitangi.</w:t>
            </w:r>
          </w:p>
          <w:p w:rsidR="00C9213C" w:rsidRPr="00E35376" w:rsidRDefault="00C9213C" w:rsidP="00563FC1">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p>
        </w:tc>
        <w:tc>
          <w:tcPr>
            <w:tcW w:w="6785" w:type="dxa"/>
          </w:tcPr>
          <w:p w:rsidR="00C9213C" w:rsidRPr="00E35376" w:rsidRDefault="00C9213C" w:rsidP="00563FC1">
            <w:pPr>
              <w:keepNext/>
              <w:jc w:val="both"/>
              <w:rPr>
                <w:i/>
              </w:rPr>
            </w:pPr>
            <w:r w:rsidRPr="00E35376">
              <w:rPr>
                <w:i/>
              </w:rPr>
              <w:t>New legislation must respect the dignity of the individual and the presumption in favour of liberty.</w:t>
            </w:r>
          </w:p>
          <w:p w:rsidR="00C9213C" w:rsidRPr="00E35376" w:rsidRDefault="00C9213C" w:rsidP="00563FC1">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p>
        </w:tc>
        <w:tc>
          <w:tcPr>
            <w:tcW w:w="6785" w:type="dxa"/>
          </w:tcPr>
          <w:p w:rsidR="00C9213C" w:rsidRPr="00E35376" w:rsidRDefault="00C9213C" w:rsidP="00563FC1">
            <w:pPr>
              <w:keepNext/>
              <w:jc w:val="both"/>
              <w:rPr>
                <w:i/>
              </w:rPr>
            </w:pPr>
            <w:r w:rsidRPr="00E35376">
              <w:rPr>
                <w:i/>
              </w:rPr>
              <w:t>New legislation should respect property rights.</w:t>
            </w:r>
          </w:p>
          <w:p w:rsidR="00C9213C" w:rsidRPr="00E35376" w:rsidRDefault="00C9213C" w:rsidP="00563FC1">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p>
        </w:tc>
        <w:tc>
          <w:tcPr>
            <w:tcW w:w="6785" w:type="dxa"/>
          </w:tcPr>
          <w:p w:rsidR="00C9213C" w:rsidRPr="00E35376" w:rsidRDefault="00C9213C" w:rsidP="00563FC1">
            <w:pPr>
              <w:keepNext/>
              <w:jc w:val="both"/>
              <w:rPr>
                <w:i/>
              </w:rPr>
            </w:pPr>
            <w:r w:rsidRPr="00E35376">
              <w:rPr>
                <w:i/>
              </w:rPr>
              <w:t xml:space="preserve">The exercise of powers under legislation must be subject to the principles of natural justice where appropriate. </w:t>
            </w:r>
          </w:p>
          <w:p w:rsidR="00C9213C" w:rsidRPr="00E35376" w:rsidRDefault="00C9213C" w:rsidP="00563FC1">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p>
        </w:tc>
        <w:tc>
          <w:tcPr>
            <w:tcW w:w="6785" w:type="dxa"/>
          </w:tcPr>
          <w:p w:rsidR="00C9213C" w:rsidRPr="00E35376" w:rsidRDefault="00C9213C" w:rsidP="00563FC1">
            <w:pPr>
              <w:keepNext/>
              <w:jc w:val="both"/>
              <w:rPr>
                <w:b/>
                <w:i/>
              </w:rPr>
            </w:pPr>
            <w:r w:rsidRPr="00E35376">
              <w:rPr>
                <w:i/>
              </w:rPr>
              <w:t>New legislation should not generally restrict the right of access to the courts.</w:t>
            </w:r>
          </w:p>
          <w:p w:rsidR="00C9213C" w:rsidRPr="00E35376" w:rsidRDefault="00C9213C" w:rsidP="00563FC1">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p>
        </w:tc>
        <w:tc>
          <w:tcPr>
            <w:tcW w:w="6785" w:type="dxa"/>
          </w:tcPr>
          <w:p w:rsidR="00C9213C" w:rsidRPr="00E35376" w:rsidRDefault="00C9213C" w:rsidP="00563FC1">
            <w:pPr>
              <w:keepNext/>
              <w:jc w:val="both"/>
              <w:rPr>
                <w:i/>
              </w:rPr>
            </w:pPr>
            <w:r w:rsidRPr="00E35376">
              <w:rPr>
                <w:i/>
              </w:rPr>
              <w:t>Legislation should not affect existing rights and should not criminalise or punish conduct that was not punishable at the time it was committed.</w:t>
            </w:r>
          </w:p>
          <w:p w:rsidR="00C9213C" w:rsidRPr="00E35376" w:rsidRDefault="00C9213C" w:rsidP="00563FC1">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p>
        </w:tc>
        <w:tc>
          <w:tcPr>
            <w:tcW w:w="6785" w:type="dxa"/>
          </w:tcPr>
          <w:p w:rsidR="00C9213C" w:rsidRPr="00E35376" w:rsidRDefault="00C9213C" w:rsidP="00563FC1">
            <w:pPr>
              <w:keepNext/>
              <w:jc w:val="both"/>
              <w:rPr>
                <w:i/>
              </w:rPr>
            </w:pPr>
            <w:r w:rsidRPr="00E35376">
              <w:rPr>
                <w:i/>
              </w:rPr>
              <w:t xml:space="preserve">Money must not be raised, spent or borrowed without Parliamentary authority. </w:t>
            </w:r>
          </w:p>
          <w:p w:rsidR="00C9213C" w:rsidRPr="00E35376" w:rsidRDefault="00C9213C" w:rsidP="00563FC1">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p>
        </w:tc>
        <w:tc>
          <w:tcPr>
            <w:tcW w:w="6785" w:type="dxa"/>
          </w:tcPr>
          <w:p w:rsidR="00C9213C" w:rsidRPr="00E35376" w:rsidRDefault="00C9213C" w:rsidP="00563FC1">
            <w:pPr>
              <w:keepNext/>
              <w:jc w:val="both"/>
              <w:rPr>
                <w:i/>
              </w:rPr>
            </w:pPr>
            <w:r w:rsidRPr="00E35376">
              <w:rPr>
                <w:i/>
              </w:rPr>
              <w:t>Clear and unambiguous wording must be used if Parliament wishes to override fundamental rights and values.</w:t>
            </w:r>
          </w:p>
          <w:p w:rsidR="00C9213C" w:rsidRPr="00E35376" w:rsidRDefault="00C9213C" w:rsidP="00563FC1">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Borders>
              <w:bottom w:val="single" w:sz="4" w:space="0" w:color="auto"/>
            </w:tcBorders>
          </w:tcPr>
          <w:p w:rsidR="00C9213C" w:rsidRDefault="00C9213C" w:rsidP="00E35376">
            <w:pPr>
              <w:keepNext/>
              <w:jc w:val="both"/>
              <w:rPr>
                <w:i/>
              </w:rPr>
            </w:pPr>
          </w:p>
        </w:tc>
        <w:tc>
          <w:tcPr>
            <w:tcW w:w="6785" w:type="dxa"/>
            <w:tcBorders>
              <w:bottom w:val="single" w:sz="4" w:space="0" w:color="auto"/>
            </w:tcBorders>
          </w:tcPr>
          <w:p w:rsidR="00C9213C" w:rsidRPr="00E35376" w:rsidRDefault="00C9213C" w:rsidP="00563FC1">
            <w:pPr>
              <w:keepNext/>
              <w:jc w:val="both"/>
              <w:rPr>
                <w:i/>
              </w:rPr>
            </w:pPr>
            <w:r w:rsidRPr="00E35376">
              <w:rPr>
                <w:i/>
              </w:rPr>
              <w:t>New legislation must comply with New Zealand’s international obligations.</w:t>
            </w:r>
          </w:p>
          <w:p w:rsidR="00C9213C" w:rsidRPr="00E35376" w:rsidRDefault="00C9213C" w:rsidP="00563FC1">
            <w:pPr>
              <w:keepNext/>
              <w:ind w:left="720"/>
              <w:jc w:val="both"/>
              <w:rPr>
                <w:i/>
              </w:rPr>
            </w:pPr>
          </w:p>
        </w:tc>
        <w:tc>
          <w:tcPr>
            <w:tcW w:w="1153" w:type="dxa"/>
            <w:tcBorders>
              <w:bottom w:val="single" w:sz="4" w:space="0" w:color="auto"/>
            </w:tcBorders>
          </w:tcPr>
          <w:p w:rsidR="00C9213C" w:rsidRDefault="00C9213C" w:rsidP="00E35376">
            <w:pPr>
              <w:keepNext/>
              <w:jc w:val="both"/>
            </w:pPr>
          </w:p>
        </w:tc>
        <w:tc>
          <w:tcPr>
            <w:tcW w:w="1134" w:type="dxa"/>
            <w:tcBorders>
              <w:bottom w:val="single" w:sz="4" w:space="0" w:color="auto"/>
            </w:tcBorders>
          </w:tcPr>
          <w:p w:rsidR="00C9213C" w:rsidRDefault="00C9213C" w:rsidP="00E35376">
            <w:pPr>
              <w:keepNext/>
              <w:jc w:val="both"/>
            </w:pPr>
          </w:p>
        </w:tc>
        <w:tc>
          <w:tcPr>
            <w:tcW w:w="3681" w:type="dxa"/>
            <w:tcBorders>
              <w:bottom w:val="single" w:sz="4" w:space="0" w:color="auto"/>
            </w:tcBorders>
          </w:tcPr>
          <w:p w:rsidR="00C9213C" w:rsidRDefault="00C9213C" w:rsidP="00E35376">
            <w:pPr>
              <w:keepNext/>
              <w:jc w:val="both"/>
            </w:pPr>
          </w:p>
        </w:tc>
      </w:tr>
      <w:tr w:rsidR="00C9213C" w:rsidTr="00243634">
        <w:tc>
          <w:tcPr>
            <w:tcW w:w="13847" w:type="dxa"/>
            <w:gridSpan w:val="5"/>
            <w:shd w:val="clear" w:color="auto" w:fill="D9D9D9" w:themeFill="background1" w:themeFillShade="D9"/>
          </w:tcPr>
          <w:p w:rsidR="00C9213C" w:rsidRDefault="00C9213C" w:rsidP="00AD5FE7">
            <w:pPr>
              <w:keepNext/>
              <w:jc w:val="center"/>
            </w:pPr>
          </w:p>
          <w:p w:rsidR="00C9213C" w:rsidRPr="00940C9E" w:rsidRDefault="00C9213C" w:rsidP="00C9213C">
            <w:pPr>
              <w:keepNext/>
              <w:tabs>
                <w:tab w:val="left" w:pos="688"/>
                <w:tab w:val="center" w:pos="4153"/>
              </w:tabs>
              <w:jc w:val="center"/>
              <w:rPr>
                <w:b/>
              </w:rPr>
            </w:pPr>
            <w:r w:rsidRPr="00940C9E">
              <w:rPr>
                <w:b/>
              </w:rPr>
              <w:t>Chapter 4: The Treaty of Waitangi and Treaty Settlements</w:t>
            </w:r>
          </w:p>
          <w:p w:rsidR="00C9213C" w:rsidRDefault="00C9213C" w:rsidP="00AD5FE7">
            <w:pPr>
              <w:keepNext/>
              <w:jc w:val="center"/>
            </w:pPr>
          </w:p>
        </w:tc>
      </w:tr>
      <w:tr w:rsidR="00C9213C" w:rsidTr="00C9213C">
        <w:tc>
          <w:tcPr>
            <w:tcW w:w="1094" w:type="dxa"/>
          </w:tcPr>
          <w:p w:rsidR="00C9213C" w:rsidRDefault="00C9213C" w:rsidP="00E35376">
            <w:pPr>
              <w:keepNext/>
              <w:jc w:val="both"/>
              <w:rPr>
                <w:i/>
              </w:rPr>
            </w:pPr>
            <w:r>
              <w:rPr>
                <w:i/>
              </w:rPr>
              <w:t>4.1</w:t>
            </w:r>
          </w:p>
        </w:tc>
        <w:tc>
          <w:tcPr>
            <w:tcW w:w="6785" w:type="dxa"/>
          </w:tcPr>
          <w:p w:rsidR="00C9213C" w:rsidRPr="00E35376" w:rsidRDefault="00C9213C" w:rsidP="00563FC1">
            <w:pPr>
              <w:keepNext/>
              <w:jc w:val="both"/>
              <w:rPr>
                <w:i/>
              </w:rPr>
            </w:pPr>
            <w:r w:rsidRPr="00E35376">
              <w:rPr>
                <w:i/>
              </w:rPr>
              <w:t xml:space="preserve">Māori interests that will be affected by the proposed legislation should be identified. </w:t>
            </w:r>
          </w:p>
          <w:p w:rsidR="00C9213C" w:rsidRPr="00E35376" w:rsidRDefault="00C9213C" w:rsidP="00AD5FE7">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4.2</w:t>
            </w:r>
          </w:p>
        </w:tc>
        <w:tc>
          <w:tcPr>
            <w:tcW w:w="6785" w:type="dxa"/>
          </w:tcPr>
          <w:p w:rsidR="00C9213C" w:rsidRPr="00E35376" w:rsidRDefault="00C9213C" w:rsidP="00563FC1">
            <w:pPr>
              <w:keepNext/>
              <w:jc w:val="both"/>
              <w:rPr>
                <w:i/>
              </w:rPr>
            </w:pPr>
            <w:r w:rsidRPr="00E35376">
              <w:rPr>
                <w:i/>
              </w:rPr>
              <w:t>New legislation must not be inconsistent with an existing Treaty settlement.</w:t>
            </w:r>
          </w:p>
          <w:p w:rsidR="00C9213C" w:rsidRPr="00E35376" w:rsidRDefault="00C9213C" w:rsidP="00AD5FE7">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br w:type="page"/>
            </w:r>
            <w:r>
              <w:rPr>
                <w:i/>
              </w:rPr>
              <w:t>4.3</w:t>
            </w:r>
          </w:p>
        </w:tc>
        <w:tc>
          <w:tcPr>
            <w:tcW w:w="6785" w:type="dxa"/>
          </w:tcPr>
          <w:p w:rsidR="00C9213C" w:rsidRPr="00E35376" w:rsidRDefault="00C9213C" w:rsidP="00563FC1">
            <w:pPr>
              <w:keepNext/>
              <w:jc w:val="both"/>
              <w:rPr>
                <w:i/>
              </w:rPr>
            </w:pPr>
            <w:r w:rsidRPr="00E35376">
              <w:rPr>
                <w:i/>
              </w:rPr>
              <w:t>Any land, bodies of water or other resources potentially subject to customary title (or rights), and that might be affected by proposed legislation, should be identified.</w:t>
            </w:r>
          </w:p>
          <w:p w:rsidR="00C9213C" w:rsidRPr="00E35376" w:rsidRDefault="00C9213C" w:rsidP="00AD5FE7">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4.4</w:t>
            </w:r>
          </w:p>
        </w:tc>
        <w:tc>
          <w:tcPr>
            <w:tcW w:w="6785" w:type="dxa"/>
          </w:tcPr>
          <w:p w:rsidR="00C9213C" w:rsidRPr="00E35376" w:rsidRDefault="00C9213C" w:rsidP="00563FC1">
            <w:pPr>
              <w:keepNext/>
              <w:jc w:val="both"/>
              <w:rPr>
                <w:i/>
              </w:rPr>
            </w:pPr>
            <w:r w:rsidRPr="00E35376">
              <w:rPr>
                <w:i/>
              </w:rPr>
              <w:t>The Government must make informed decisions where legislation will affect, or have the potential to affect, the rights and interests of Māori.</w:t>
            </w:r>
          </w:p>
          <w:p w:rsidR="00C9213C" w:rsidRPr="00E35376" w:rsidRDefault="00C9213C" w:rsidP="00AD5FE7">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4.5</w:t>
            </w:r>
          </w:p>
        </w:tc>
        <w:tc>
          <w:tcPr>
            <w:tcW w:w="6785" w:type="dxa"/>
          </w:tcPr>
          <w:p w:rsidR="00C9213C" w:rsidRPr="00E35376" w:rsidRDefault="00C9213C" w:rsidP="00563FC1">
            <w:pPr>
              <w:keepNext/>
              <w:jc w:val="both"/>
              <w:rPr>
                <w:i/>
              </w:rPr>
            </w:pPr>
            <w:r w:rsidRPr="00E35376">
              <w:rPr>
                <w:i/>
              </w:rPr>
              <w:t xml:space="preserve">Consultation must target Māori whose interests are particularly affected. </w:t>
            </w:r>
          </w:p>
          <w:p w:rsidR="00C9213C" w:rsidRPr="00E35376" w:rsidRDefault="00C9213C" w:rsidP="00AD5FE7">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4.6</w:t>
            </w:r>
          </w:p>
        </w:tc>
        <w:tc>
          <w:tcPr>
            <w:tcW w:w="6785" w:type="dxa"/>
          </w:tcPr>
          <w:p w:rsidR="00C9213C" w:rsidRPr="00E35376" w:rsidRDefault="00C9213C" w:rsidP="00563FC1">
            <w:pPr>
              <w:keepNext/>
              <w:jc w:val="both"/>
              <w:rPr>
                <w:i/>
              </w:rPr>
            </w:pPr>
            <w:r w:rsidRPr="00E35376">
              <w:rPr>
                <w:i/>
              </w:rPr>
              <w:t>When legislation has the potential to conflict with the rights or interests of Māori under the Treaty, additional measures should be considered to ensure recognition of the principles of the Treaty or the particular rights concerned.</w:t>
            </w:r>
          </w:p>
          <w:p w:rsidR="00C9213C" w:rsidRPr="00E35376" w:rsidRDefault="00C9213C" w:rsidP="00AD5FE7">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Borders>
              <w:bottom w:val="single" w:sz="4" w:space="0" w:color="auto"/>
            </w:tcBorders>
          </w:tcPr>
          <w:p w:rsidR="00C9213C" w:rsidRDefault="00C9213C" w:rsidP="00E35376">
            <w:pPr>
              <w:keepNext/>
              <w:jc w:val="both"/>
              <w:rPr>
                <w:i/>
              </w:rPr>
            </w:pPr>
            <w:r>
              <w:rPr>
                <w:i/>
              </w:rPr>
              <w:t>4.7</w:t>
            </w:r>
          </w:p>
        </w:tc>
        <w:tc>
          <w:tcPr>
            <w:tcW w:w="6785" w:type="dxa"/>
            <w:tcBorders>
              <w:bottom w:val="single" w:sz="4" w:space="0" w:color="auto"/>
            </w:tcBorders>
          </w:tcPr>
          <w:p w:rsidR="00C9213C" w:rsidRPr="00E35376" w:rsidRDefault="00C9213C" w:rsidP="00563FC1">
            <w:pPr>
              <w:keepNext/>
              <w:jc w:val="both"/>
              <w:rPr>
                <w:i/>
              </w:rPr>
            </w:pPr>
            <w:r w:rsidRPr="00E35376">
              <w:rPr>
                <w:i/>
              </w:rPr>
              <w:t xml:space="preserve">Clear language is required where legislation is intended to be inconsistent with the principles of the Treaty. </w:t>
            </w:r>
          </w:p>
          <w:p w:rsidR="00C9213C" w:rsidRPr="00E35376" w:rsidRDefault="00C9213C" w:rsidP="00AD5FE7">
            <w:pPr>
              <w:keepNext/>
              <w:ind w:left="720"/>
              <w:jc w:val="both"/>
              <w:rPr>
                <w:i/>
              </w:rPr>
            </w:pPr>
          </w:p>
        </w:tc>
        <w:tc>
          <w:tcPr>
            <w:tcW w:w="1153" w:type="dxa"/>
            <w:tcBorders>
              <w:bottom w:val="single" w:sz="4" w:space="0" w:color="auto"/>
            </w:tcBorders>
          </w:tcPr>
          <w:p w:rsidR="00C9213C" w:rsidRDefault="00C9213C" w:rsidP="00E35376">
            <w:pPr>
              <w:keepNext/>
              <w:jc w:val="both"/>
            </w:pPr>
          </w:p>
        </w:tc>
        <w:tc>
          <w:tcPr>
            <w:tcW w:w="1134" w:type="dxa"/>
            <w:tcBorders>
              <w:bottom w:val="single" w:sz="4" w:space="0" w:color="auto"/>
            </w:tcBorders>
          </w:tcPr>
          <w:p w:rsidR="00C9213C" w:rsidRDefault="00C9213C" w:rsidP="00E35376">
            <w:pPr>
              <w:keepNext/>
              <w:jc w:val="both"/>
            </w:pPr>
          </w:p>
        </w:tc>
        <w:tc>
          <w:tcPr>
            <w:tcW w:w="3681" w:type="dxa"/>
            <w:tcBorders>
              <w:bottom w:val="single" w:sz="4" w:space="0" w:color="auto"/>
            </w:tcBorders>
          </w:tcPr>
          <w:p w:rsidR="00C9213C" w:rsidRDefault="00C9213C" w:rsidP="00E35376">
            <w:pPr>
              <w:keepNext/>
              <w:jc w:val="both"/>
            </w:pPr>
          </w:p>
        </w:tc>
      </w:tr>
      <w:tr w:rsidR="00C9213C" w:rsidTr="00611114">
        <w:tc>
          <w:tcPr>
            <w:tcW w:w="13847" w:type="dxa"/>
            <w:gridSpan w:val="5"/>
            <w:shd w:val="clear" w:color="auto" w:fill="D9D9D9" w:themeFill="background1" w:themeFillShade="D9"/>
          </w:tcPr>
          <w:p w:rsidR="00C9213C" w:rsidRDefault="00C9213C" w:rsidP="00AD5FE7">
            <w:pPr>
              <w:keepNext/>
              <w:jc w:val="center"/>
            </w:pPr>
          </w:p>
          <w:p w:rsidR="00C9213C" w:rsidRPr="00940C9E" w:rsidRDefault="00C9213C" w:rsidP="00C9213C">
            <w:pPr>
              <w:keepNext/>
              <w:jc w:val="center"/>
              <w:rPr>
                <w:b/>
              </w:rPr>
            </w:pPr>
            <w:r w:rsidRPr="00940C9E">
              <w:rPr>
                <w:b/>
              </w:rPr>
              <w:t>Chapter 5: New Zealand Bill of Rights Act 1990</w:t>
            </w:r>
          </w:p>
          <w:p w:rsidR="00C9213C" w:rsidRDefault="00C9213C" w:rsidP="00AD5FE7">
            <w:pPr>
              <w:keepNext/>
              <w:jc w:val="center"/>
            </w:pPr>
          </w:p>
        </w:tc>
      </w:tr>
      <w:tr w:rsidR="00C9213C" w:rsidTr="00C9213C">
        <w:tc>
          <w:tcPr>
            <w:tcW w:w="1094" w:type="dxa"/>
          </w:tcPr>
          <w:p w:rsidR="00C9213C" w:rsidRDefault="00C9213C" w:rsidP="00E35376">
            <w:pPr>
              <w:keepNext/>
              <w:jc w:val="both"/>
              <w:rPr>
                <w:i/>
              </w:rPr>
            </w:pPr>
            <w:r>
              <w:rPr>
                <w:i/>
              </w:rPr>
              <w:t>5.1</w:t>
            </w:r>
          </w:p>
        </w:tc>
        <w:tc>
          <w:tcPr>
            <w:tcW w:w="6785" w:type="dxa"/>
          </w:tcPr>
          <w:p w:rsidR="00C9213C" w:rsidRPr="00E35376" w:rsidRDefault="00C9213C" w:rsidP="00563FC1">
            <w:pPr>
              <w:keepNext/>
              <w:jc w:val="both"/>
              <w:rPr>
                <w:i/>
              </w:rPr>
            </w:pPr>
            <w:r w:rsidRPr="00E35376">
              <w:rPr>
                <w:i/>
              </w:rPr>
              <w:t>NZBORA rights should not be limited, or should be subject only to such reasonable limits as can be justified in a free and democratic society.</w:t>
            </w:r>
          </w:p>
          <w:p w:rsidR="00C9213C" w:rsidRPr="00E35376" w:rsidRDefault="00C9213C" w:rsidP="00AD5FE7">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Borders>
              <w:bottom w:val="single" w:sz="4" w:space="0" w:color="auto"/>
            </w:tcBorders>
          </w:tcPr>
          <w:p w:rsidR="00C9213C" w:rsidRDefault="00C9213C" w:rsidP="00E35376">
            <w:pPr>
              <w:keepNext/>
              <w:jc w:val="both"/>
              <w:rPr>
                <w:i/>
              </w:rPr>
            </w:pPr>
            <w:r>
              <w:rPr>
                <w:i/>
              </w:rPr>
              <w:t>5.2</w:t>
            </w:r>
          </w:p>
        </w:tc>
        <w:tc>
          <w:tcPr>
            <w:tcW w:w="6785" w:type="dxa"/>
            <w:tcBorders>
              <w:bottom w:val="single" w:sz="4" w:space="0" w:color="auto"/>
            </w:tcBorders>
          </w:tcPr>
          <w:p w:rsidR="00C9213C" w:rsidRPr="00E35376" w:rsidRDefault="00C9213C" w:rsidP="00563FC1">
            <w:pPr>
              <w:keepNext/>
              <w:jc w:val="both"/>
              <w:rPr>
                <w:i/>
              </w:rPr>
            </w:pPr>
            <w:r w:rsidRPr="00E35376">
              <w:rPr>
                <w:i/>
              </w:rPr>
              <w:t>Any unjustified limitation should be restricted to that which is necessary to achieve the policy objective.</w:t>
            </w:r>
          </w:p>
          <w:p w:rsidR="00C9213C" w:rsidRPr="00E35376" w:rsidRDefault="00C9213C" w:rsidP="00AD5FE7">
            <w:pPr>
              <w:keepNext/>
              <w:ind w:left="720"/>
              <w:jc w:val="both"/>
              <w:rPr>
                <w:i/>
              </w:rPr>
            </w:pPr>
          </w:p>
        </w:tc>
        <w:tc>
          <w:tcPr>
            <w:tcW w:w="1153" w:type="dxa"/>
            <w:tcBorders>
              <w:bottom w:val="single" w:sz="4" w:space="0" w:color="auto"/>
            </w:tcBorders>
          </w:tcPr>
          <w:p w:rsidR="00C9213C" w:rsidRDefault="00C9213C" w:rsidP="00E35376">
            <w:pPr>
              <w:keepNext/>
              <w:jc w:val="both"/>
            </w:pPr>
          </w:p>
        </w:tc>
        <w:tc>
          <w:tcPr>
            <w:tcW w:w="1134" w:type="dxa"/>
            <w:tcBorders>
              <w:bottom w:val="single" w:sz="4" w:space="0" w:color="auto"/>
            </w:tcBorders>
          </w:tcPr>
          <w:p w:rsidR="00C9213C" w:rsidRDefault="00C9213C" w:rsidP="00E35376">
            <w:pPr>
              <w:keepNext/>
              <w:jc w:val="both"/>
            </w:pPr>
          </w:p>
        </w:tc>
        <w:tc>
          <w:tcPr>
            <w:tcW w:w="3681" w:type="dxa"/>
            <w:tcBorders>
              <w:bottom w:val="single" w:sz="4" w:space="0" w:color="auto"/>
            </w:tcBorders>
          </w:tcPr>
          <w:p w:rsidR="00C9213C" w:rsidRDefault="00C9213C" w:rsidP="00E35376">
            <w:pPr>
              <w:keepNext/>
              <w:jc w:val="both"/>
            </w:pPr>
          </w:p>
        </w:tc>
      </w:tr>
      <w:tr w:rsidR="00C9213C" w:rsidTr="00986E21">
        <w:tc>
          <w:tcPr>
            <w:tcW w:w="13847" w:type="dxa"/>
            <w:gridSpan w:val="5"/>
            <w:shd w:val="clear" w:color="auto" w:fill="D9D9D9" w:themeFill="background1" w:themeFillShade="D9"/>
          </w:tcPr>
          <w:p w:rsidR="00C9213C" w:rsidRDefault="00C9213C" w:rsidP="00E35376">
            <w:pPr>
              <w:keepNext/>
              <w:jc w:val="both"/>
            </w:pPr>
          </w:p>
          <w:p w:rsidR="00C9213C" w:rsidRPr="00940C9E" w:rsidRDefault="00C9213C" w:rsidP="00563FC1">
            <w:pPr>
              <w:keepNext/>
              <w:jc w:val="center"/>
              <w:rPr>
                <w:b/>
              </w:rPr>
            </w:pPr>
            <w:r w:rsidRPr="00940C9E">
              <w:rPr>
                <w:b/>
              </w:rPr>
              <w:t>Chapter 6: Discrimination and distinguishing between different groups</w:t>
            </w:r>
          </w:p>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6.1</w:t>
            </w:r>
          </w:p>
        </w:tc>
        <w:tc>
          <w:tcPr>
            <w:tcW w:w="6785" w:type="dxa"/>
          </w:tcPr>
          <w:p w:rsidR="00C9213C" w:rsidRPr="00E35376" w:rsidRDefault="00C9213C" w:rsidP="00563FC1">
            <w:pPr>
              <w:keepNext/>
              <w:jc w:val="both"/>
              <w:rPr>
                <w:i/>
              </w:rPr>
            </w:pPr>
            <w:r w:rsidRPr="00E35376">
              <w:rPr>
                <w:i/>
              </w:rPr>
              <w:t>Legislation should not discriminate on one of the prohibited grounds.</w:t>
            </w:r>
          </w:p>
          <w:p w:rsidR="00C9213C" w:rsidRPr="00E35376" w:rsidRDefault="00C9213C" w:rsidP="00AD5FE7">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6.2</w:t>
            </w:r>
          </w:p>
        </w:tc>
        <w:tc>
          <w:tcPr>
            <w:tcW w:w="6785" w:type="dxa"/>
          </w:tcPr>
          <w:p w:rsidR="00C9213C" w:rsidRPr="00E35376" w:rsidRDefault="00C9213C" w:rsidP="00563FC1">
            <w:pPr>
              <w:keepNext/>
              <w:jc w:val="both"/>
              <w:rPr>
                <w:i/>
              </w:rPr>
            </w:pPr>
            <w:r w:rsidRPr="00E35376">
              <w:rPr>
                <w:i/>
              </w:rPr>
              <w:t xml:space="preserve">Any discrimination should be no greater than is necessary to achieve the policy objective. </w:t>
            </w:r>
          </w:p>
          <w:p w:rsidR="00C9213C" w:rsidRPr="00E35376" w:rsidRDefault="00C9213C" w:rsidP="00563FC1">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6.3</w:t>
            </w:r>
          </w:p>
        </w:tc>
        <w:tc>
          <w:tcPr>
            <w:tcW w:w="6785" w:type="dxa"/>
          </w:tcPr>
          <w:p w:rsidR="00C9213C" w:rsidRPr="00E35376" w:rsidRDefault="00C9213C" w:rsidP="00563FC1">
            <w:pPr>
              <w:keepNext/>
              <w:jc w:val="both"/>
              <w:rPr>
                <w:i/>
              </w:rPr>
            </w:pPr>
            <w:r w:rsidRPr="00E35376">
              <w:rPr>
                <w:i/>
              </w:rPr>
              <w:t xml:space="preserve">Consult the Human Rights Commission early in the policy development process. </w:t>
            </w:r>
          </w:p>
          <w:p w:rsidR="00C9213C" w:rsidRPr="00E35376" w:rsidRDefault="00C9213C" w:rsidP="00563FC1">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6.4</w:t>
            </w:r>
          </w:p>
        </w:tc>
        <w:tc>
          <w:tcPr>
            <w:tcW w:w="6785" w:type="dxa"/>
          </w:tcPr>
          <w:p w:rsidR="00C9213C" w:rsidRPr="00E35376" w:rsidRDefault="00C9213C" w:rsidP="00563FC1">
            <w:pPr>
              <w:keepNext/>
              <w:jc w:val="both"/>
              <w:rPr>
                <w:i/>
              </w:rPr>
            </w:pPr>
            <w:r w:rsidRPr="00E35376">
              <w:rPr>
                <w:i/>
              </w:rPr>
              <w:t>Consider the full range of consequences of passing legislation or taking action that does not comply with the Human Rights Act 1993 and section 19 NZBORA.</w:t>
            </w:r>
          </w:p>
          <w:p w:rsidR="00C9213C" w:rsidRPr="00E35376" w:rsidRDefault="00C9213C" w:rsidP="00563FC1">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750FD6">
        <w:tc>
          <w:tcPr>
            <w:tcW w:w="13847" w:type="dxa"/>
            <w:gridSpan w:val="5"/>
            <w:shd w:val="clear" w:color="auto" w:fill="D9D9D9" w:themeFill="background1" w:themeFillShade="D9"/>
          </w:tcPr>
          <w:p w:rsidR="00C9213C" w:rsidRDefault="00C9213C" w:rsidP="00E35376">
            <w:pPr>
              <w:keepNext/>
              <w:jc w:val="both"/>
            </w:pPr>
            <w:r>
              <w:br w:type="page"/>
            </w:r>
          </w:p>
          <w:p w:rsidR="00C9213C" w:rsidRPr="00940C9E" w:rsidRDefault="00C9213C" w:rsidP="00563FC1">
            <w:pPr>
              <w:keepNext/>
              <w:jc w:val="center"/>
              <w:rPr>
                <w:b/>
              </w:rPr>
            </w:pPr>
            <w:r w:rsidRPr="00940C9E">
              <w:rPr>
                <w:b/>
              </w:rPr>
              <w:t>Chapter 7: Privacy and dealing with information about people</w:t>
            </w:r>
          </w:p>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7.1</w:t>
            </w:r>
          </w:p>
        </w:tc>
        <w:tc>
          <w:tcPr>
            <w:tcW w:w="6785" w:type="dxa"/>
          </w:tcPr>
          <w:p w:rsidR="00C9213C" w:rsidRPr="00E35376" w:rsidRDefault="00C9213C" w:rsidP="00563FC1">
            <w:pPr>
              <w:keepNext/>
              <w:jc w:val="both"/>
              <w:rPr>
                <w:i/>
              </w:rPr>
            </w:pPr>
            <w:r w:rsidRPr="00E35376">
              <w:rPr>
                <w:i/>
              </w:rPr>
              <w:t>Legislation should be consistent with the requirements of the Privacy Act 1993, in particular the Information Privacy Principles.</w:t>
            </w:r>
          </w:p>
          <w:p w:rsidR="00C9213C" w:rsidRPr="00E35376" w:rsidRDefault="00C9213C" w:rsidP="00563FC1">
            <w:pPr>
              <w:keepNext/>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7.2</w:t>
            </w:r>
          </w:p>
        </w:tc>
        <w:tc>
          <w:tcPr>
            <w:tcW w:w="6785" w:type="dxa"/>
          </w:tcPr>
          <w:p w:rsidR="00C9213C" w:rsidRPr="00E35376" w:rsidRDefault="00C9213C" w:rsidP="00563FC1">
            <w:pPr>
              <w:keepNext/>
              <w:jc w:val="both"/>
              <w:rPr>
                <w:i/>
              </w:rPr>
            </w:pPr>
            <w:r w:rsidRPr="00E35376">
              <w:rPr>
                <w:i/>
              </w:rPr>
              <w:t>The design of new legislation must take account of any applicable Code of Practice.</w:t>
            </w:r>
          </w:p>
          <w:p w:rsidR="00C9213C" w:rsidRPr="00E35376" w:rsidRDefault="00C9213C" w:rsidP="00563FC1">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7.3</w:t>
            </w:r>
          </w:p>
        </w:tc>
        <w:tc>
          <w:tcPr>
            <w:tcW w:w="6785" w:type="dxa"/>
          </w:tcPr>
          <w:p w:rsidR="00C9213C" w:rsidRPr="00E35376" w:rsidRDefault="00C9213C" w:rsidP="00563FC1">
            <w:pPr>
              <w:keepNext/>
              <w:jc w:val="both"/>
              <w:rPr>
                <w:i/>
              </w:rPr>
            </w:pPr>
            <w:r w:rsidRPr="00E35376">
              <w:rPr>
                <w:i/>
              </w:rPr>
              <w:t xml:space="preserve">Consult the Privacy Commissioner, the Ministry of Justice and the GCPO when developing new policies and legislation that may affect the privacy of individuals. </w:t>
            </w:r>
          </w:p>
          <w:p w:rsidR="00C9213C" w:rsidRPr="00E35376" w:rsidRDefault="00C9213C" w:rsidP="00563FC1">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7.4</w:t>
            </w:r>
          </w:p>
        </w:tc>
        <w:tc>
          <w:tcPr>
            <w:tcW w:w="6785" w:type="dxa"/>
          </w:tcPr>
          <w:p w:rsidR="00C9213C" w:rsidRPr="00E35376" w:rsidRDefault="00C9213C" w:rsidP="00563FC1">
            <w:pPr>
              <w:keepNext/>
              <w:jc w:val="both"/>
              <w:rPr>
                <w:i/>
              </w:rPr>
            </w:pPr>
            <w:r w:rsidRPr="00E35376">
              <w:rPr>
                <w:i/>
              </w:rPr>
              <w:t>New legislation should use the existing complaints process under the Privacy Act 1993 unless there is a good reason not to do so.</w:t>
            </w:r>
          </w:p>
          <w:p w:rsidR="00C9213C" w:rsidRPr="00E35376" w:rsidRDefault="00C9213C" w:rsidP="00563FC1">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Borders>
              <w:bottom w:val="single" w:sz="4" w:space="0" w:color="auto"/>
            </w:tcBorders>
          </w:tcPr>
          <w:p w:rsidR="00C9213C" w:rsidRDefault="00C9213C" w:rsidP="00E35376">
            <w:pPr>
              <w:keepNext/>
              <w:jc w:val="both"/>
              <w:rPr>
                <w:i/>
              </w:rPr>
            </w:pPr>
            <w:r>
              <w:rPr>
                <w:i/>
              </w:rPr>
              <w:t>7.5</w:t>
            </w:r>
          </w:p>
        </w:tc>
        <w:tc>
          <w:tcPr>
            <w:tcW w:w="6785" w:type="dxa"/>
            <w:tcBorders>
              <w:bottom w:val="single" w:sz="4" w:space="0" w:color="auto"/>
            </w:tcBorders>
          </w:tcPr>
          <w:p w:rsidR="00C9213C" w:rsidRPr="00E35376" w:rsidRDefault="00C9213C" w:rsidP="00563FC1">
            <w:pPr>
              <w:keepNext/>
              <w:jc w:val="both"/>
              <w:rPr>
                <w:i/>
              </w:rPr>
            </w:pPr>
            <w:r w:rsidRPr="00E35376">
              <w:rPr>
                <w:i/>
              </w:rPr>
              <w:t>The full range of consequences of creating legislation that does not comply with the Privacy Act 1993 should be considered.</w:t>
            </w:r>
          </w:p>
          <w:p w:rsidR="00C9213C" w:rsidRPr="00E35376" w:rsidRDefault="00C9213C" w:rsidP="00563FC1">
            <w:pPr>
              <w:keepNext/>
              <w:ind w:left="720"/>
              <w:jc w:val="both"/>
              <w:rPr>
                <w:i/>
              </w:rPr>
            </w:pPr>
          </w:p>
        </w:tc>
        <w:tc>
          <w:tcPr>
            <w:tcW w:w="1153" w:type="dxa"/>
            <w:tcBorders>
              <w:bottom w:val="single" w:sz="4" w:space="0" w:color="auto"/>
            </w:tcBorders>
          </w:tcPr>
          <w:p w:rsidR="00C9213C" w:rsidRDefault="00C9213C" w:rsidP="00E35376">
            <w:pPr>
              <w:keepNext/>
              <w:jc w:val="both"/>
            </w:pPr>
          </w:p>
        </w:tc>
        <w:tc>
          <w:tcPr>
            <w:tcW w:w="1134" w:type="dxa"/>
            <w:tcBorders>
              <w:bottom w:val="single" w:sz="4" w:space="0" w:color="auto"/>
            </w:tcBorders>
          </w:tcPr>
          <w:p w:rsidR="00C9213C" w:rsidRDefault="00C9213C" w:rsidP="00E35376">
            <w:pPr>
              <w:keepNext/>
              <w:jc w:val="both"/>
            </w:pPr>
          </w:p>
        </w:tc>
        <w:tc>
          <w:tcPr>
            <w:tcW w:w="3681" w:type="dxa"/>
            <w:tcBorders>
              <w:bottom w:val="single" w:sz="4" w:space="0" w:color="auto"/>
            </w:tcBorders>
          </w:tcPr>
          <w:p w:rsidR="00C9213C" w:rsidRDefault="00C9213C" w:rsidP="00E35376">
            <w:pPr>
              <w:keepNext/>
              <w:jc w:val="both"/>
            </w:pPr>
          </w:p>
        </w:tc>
      </w:tr>
      <w:tr w:rsidR="00C9213C" w:rsidTr="00301F3D">
        <w:tc>
          <w:tcPr>
            <w:tcW w:w="13847" w:type="dxa"/>
            <w:gridSpan w:val="5"/>
            <w:shd w:val="clear" w:color="auto" w:fill="D9D9D9" w:themeFill="background1" w:themeFillShade="D9"/>
          </w:tcPr>
          <w:p w:rsidR="00C9213C" w:rsidRDefault="00C9213C" w:rsidP="00563FC1">
            <w:pPr>
              <w:keepNext/>
              <w:jc w:val="center"/>
            </w:pPr>
          </w:p>
          <w:p w:rsidR="00C9213C" w:rsidRPr="00940C9E" w:rsidRDefault="00C9213C" w:rsidP="00563FC1">
            <w:pPr>
              <w:keepNext/>
              <w:jc w:val="center"/>
              <w:rPr>
                <w:b/>
              </w:rPr>
            </w:pPr>
            <w:r w:rsidRPr="00940C9E">
              <w:rPr>
                <w:b/>
              </w:rPr>
              <w:t>Chapter 8: Treaties and international obligations</w:t>
            </w:r>
          </w:p>
          <w:p w:rsidR="00C9213C" w:rsidRDefault="00C9213C" w:rsidP="00563FC1">
            <w:pPr>
              <w:keepNext/>
              <w:jc w:val="center"/>
            </w:pPr>
          </w:p>
        </w:tc>
      </w:tr>
      <w:tr w:rsidR="00C9213C" w:rsidTr="00C9213C">
        <w:tc>
          <w:tcPr>
            <w:tcW w:w="1094" w:type="dxa"/>
          </w:tcPr>
          <w:p w:rsidR="00C9213C" w:rsidRDefault="00C9213C" w:rsidP="00E35376">
            <w:pPr>
              <w:keepNext/>
              <w:jc w:val="both"/>
              <w:rPr>
                <w:i/>
              </w:rPr>
            </w:pPr>
            <w:r>
              <w:rPr>
                <w:i/>
              </w:rPr>
              <w:t>8.1</w:t>
            </w:r>
          </w:p>
        </w:tc>
        <w:tc>
          <w:tcPr>
            <w:tcW w:w="6785" w:type="dxa"/>
          </w:tcPr>
          <w:p w:rsidR="00C9213C" w:rsidRPr="00E35376" w:rsidRDefault="00C9213C" w:rsidP="00563FC1">
            <w:pPr>
              <w:keepNext/>
              <w:jc w:val="both"/>
              <w:rPr>
                <w:i/>
              </w:rPr>
            </w:pPr>
            <w:r w:rsidRPr="00E35376">
              <w:rPr>
                <w:i/>
              </w:rPr>
              <w:t xml:space="preserve">New legislation must not be inconsistent with existing international obligations. </w:t>
            </w:r>
          </w:p>
          <w:p w:rsidR="00C9213C" w:rsidRPr="00E35376" w:rsidRDefault="00C9213C" w:rsidP="00563FC1">
            <w:pPr>
              <w:keepNext/>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8.2</w:t>
            </w:r>
          </w:p>
        </w:tc>
        <w:tc>
          <w:tcPr>
            <w:tcW w:w="6785" w:type="dxa"/>
          </w:tcPr>
          <w:p w:rsidR="00C9213C" w:rsidRPr="00E35376" w:rsidRDefault="00C9213C" w:rsidP="00563FC1">
            <w:pPr>
              <w:keepNext/>
              <w:jc w:val="both"/>
              <w:rPr>
                <w:i/>
              </w:rPr>
            </w:pPr>
            <w:r w:rsidRPr="00E35376">
              <w:rPr>
                <w:i/>
              </w:rPr>
              <w:t xml:space="preserve">The appropriate method of incorporating treaty obligations into New Zealand law should be used to ensure that all relevant international obligations are given full effect. </w:t>
            </w:r>
          </w:p>
          <w:p w:rsidR="00C9213C" w:rsidRPr="00E35376" w:rsidRDefault="00C9213C" w:rsidP="00563FC1">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Borders>
              <w:bottom w:val="single" w:sz="4" w:space="0" w:color="auto"/>
            </w:tcBorders>
          </w:tcPr>
          <w:p w:rsidR="00C9213C" w:rsidRDefault="00C9213C" w:rsidP="00E35376">
            <w:pPr>
              <w:keepNext/>
              <w:jc w:val="both"/>
              <w:rPr>
                <w:i/>
              </w:rPr>
            </w:pPr>
            <w:r>
              <w:rPr>
                <w:i/>
              </w:rPr>
              <w:t>8.3</w:t>
            </w:r>
          </w:p>
        </w:tc>
        <w:tc>
          <w:tcPr>
            <w:tcW w:w="6785" w:type="dxa"/>
            <w:tcBorders>
              <w:bottom w:val="single" w:sz="4" w:space="0" w:color="auto"/>
            </w:tcBorders>
          </w:tcPr>
          <w:p w:rsidR="00C9213C" w:rsidRPr="00E35376" w:rsidRDefault="00C9213C" w:rsidP="00563FC1">
            <w:pPr>
              <w:keepNext/>
              <w:jc w:val="both"/>
              <w:rPr>
                <w:i/>
              </w:rPr>
            </w:pPr>
            <w:r w:rsidRPr="00E35376">
              <w:rPr>
                <w:i/>
              </w:rPr>
              <w:t xml:space="preserve">Legislation which implements a treaty should provide easy access to the treaty that it implements. </w:t>
            </w:r>
          </w:p>
          <w:p w:rsidR="00C9213C" w:rsidRPr="00E35376" w:rsidRDefault="00C9213C" w:rsidP="00563FC1">
            <w:pPr>
              <w:keepNext/>
              <w:ind w:left="720"/>
              <w:jc w:val="both"/>
              <w:rPr>
                <w:i/>
              </w:rPr>
            </w:pPr>
          </w:p>
        </w:tc>
        <w:tc>
          <w:tcPr>
            <w:tcW w:w="1153" w:type="dxa"/>
            <w:tcBorders>
              <w:bottom w:val="single" w:sz="4" w:space="0" w:color="auto"/>
            </w:tcBorders>
          </w:tcPr>
          <w:p w:rsidR="00C9213C" w:rsidRDefault="00C9213C" w:rsidP="00E35376">
            <w:pPr>
              <w:keepNext/>
              <w:jc w:val="both"/>
            </w:pPr>
          </w:p>
        </w:tc>
        <w:tc>
          <w:tcPr>
            <w:tcW w:w="1134" w:type="dxa"/>
            <w:tcBorders>
              <w:bottom w:val="single" w:sz="4" w:space="0" w:color="auto"/>
            </w:tcBorders>
          </w:tcPr>
          <w:p w:rsidR="00C9213C" w:rsidRDefault="00C9213C" w:rsidP="00E35376">
            <w:pPr>
              <w:keepNext/>
              <w:jc w:val="both"/>
            </w:pPr>
          </w:p>
        </w:tc>
        <w:tc>
          <w:tcPr>
            <w:tcW w:w="3681" w:type="dxa"/>
            <w:tcBorders>
              <w:bottom w:val="single" w:sz="4" w:space="0" w:color="auto"/>
            </w:tcBorders>
          </w:tcPr>
          <w:p w:rsidR="00C9213C" w:rsidRDefault="00C9213C" w:rsidP="00E35376">
            <w:pPr>
              <w:keepNext/>
              <w:jc w:val="both"/>
            </w:pPr>
          </w:p>
        </w:tc>
      </w:tr>
      <w:tr w:rsidR="00C9213C" w:rsidTr="00A95351">
        <w:tc>
          <w:tcPr>
            <w:tcW w:w="13847" w:type="dxa"/>
            <w:gridSpan w:val="5"/>
            <w:shd w:val="clear" w:color="auto" w:fill="D9D9D9" w:themeFill="background1" w:themeFillShade="D9"/>
          </w:tcPr>
          <w:p w:rsidR="00C9213C" w:rsidRDefault="00C9213C" w:rsidP="00E35376">
            <w:pPr>
              <w:keepNext/>
              <w:jc w:val="both"/>
            </w:pPr>
          </w:p>
          <w:p w:rsidR="00C9213C" w:rsidRPr="00940C9E" w:rsidRDefault="00C9213C" w:rsidP="00940C9E">
            <w:pPr>
              <w:keepNext/>
              <w:jc w:val="center"/>
              <w:rPr>
                <w:b/>
              </w:rPr>
            </w:pPr>
            <w:r w:rsidRPr="00940C9E">
              <w:rPr>
                <w:b/>
              </w:rPr>
              <w:t>Chapter 9: Dealing with conduct, people and things outside New Zealand</w:t>
            </w:r>
          </w:p>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9.1</w:t>
            </w:r>
          </w:p>
        </w:tc>
        <w:tc>
          <w:tcPr>
            <w:tcW w:w="6785" w:type="dxa"/>
          </w:tcPr>
          <w:p w:rsidR="00C9213C" w:rsidRPr="00E35376" w:rsidRDefault="00C9213C" w:rsidP="00563FC1">
            <w:pPr>
              <w:keepNext/>
              <w:jc w:val="both"/>
              <w:rPr>
                <w:i/>
              </w:rPr>
            </w:pPr>
            <w:r w:rsidRPr="00E35376">
              <w:rPr>
                <w:i/>
              </w:rPr>
              <w:t>Cross-border interactions and/or links relevant to the proposed legislation and policy should be identified.</w:t>
            </w:r>
          </w:p>
          <w:p w:rsidR="00C9213C" w:rsidRPr="00E35376" w:rsidRDefault="00C9213C" w:rsidP="00563FC1">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9.2</w:t>
            </w:r>
          </w:p>
        </w:tc>
        <w:tc>
          <w:tcPr>
            <w:tcW w:w="6785" w:type="dxa"/>
          </w:tcPr>
          <w:p w:rsidR="00C9213C" w:rsidRPr="00E35376" w:rsidRDefault="00C9213C" w:rsidP="00563FC1">
            <w:pPr>
              <w:keepNext/>
              <w:jc w:val="both"/>
              <w:rPr>
                <w:i/>
              </w:rPr>
            </w:pPr>
            <w:r w:rsidRPr="00E35376">
              <w:rPr>
                <w:i/>
              </w:rPr>
              <w:t>Legislation should set out the factors that determine whether or not New Zealand law applies.</w:t>
            </w:r>
          </w:p>
          <w:p w:rsidR="00C9213C" w:rsidRPr="00E35376" w:rsidRDefault="00C9213C" w:rsidP="00563FC1">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br w:type="page"/>
            </w:r>
            <w:r>
              <w:rPr>
                <w:i/>
              </w:rPr>
              <w:t>9.3</w:t>
            </w:r>
          </w:p>
        </w:tc>
        <w:tc>
          <w:tcPr>
            <w:tcW w:w="6785" w:type="dxa"/>
          </w:tcPr>
          <w:p w:rsidR="00C9213C" w:rsidRPr="00E35376" w:rsidRDefault="00C9213C" w:rsidP="00563FC1">
            <w:pPr>
              <w:keepNext/>
              <w:jc w:val="both"/>
              <w:rPr>
                <w:i/>
              </w:rPr>
            </w:pPr>
            <w:r w:rsidRPr="00E35376">
              <w:rPr>
                <w:i/>
              </w:rPr>
              <w:t>Legislation should address whether or not foreign decisions are recognised or enforceable in New Zealand.</w:t>
            </w:r>
          </w:p>
          <w:p w:rsidR="00C9213C" w:rsidRPr="00E35376" w:rsidRDefault="00C9213C" w:rsidP="00563FC1">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9.4</w:t>
            </w:r>
          </w:p>
        </w:tc>
        <w:tc>
          <w:tcPr>
            <w:tcW w:w="6785" w:type="dxa"/>
          </w:tcPr>
          <w:p w:rsidR="00C9213C" w:rsidRPr="00E35376" w:rsidRDefault="00C9213C" w:rsidP="00563FC1">
            <w:pPr>
              <w:keepNext/>
              <w:jc w:val="both"/>
              <w:rPr>
                <w:i/>
              </w:rPr>
            </w:pPr>
            <w:r w:rsidRPr="00E35376">
              <w:rPr>
                <w:i/>
              </w:rPr>
              <w:t>Legislation that creates new civil proceedings should state the procedures for commencing proceedings and enforcing judgments against overseas defendants, if relevant.</w:t>
            </w:r>
          </w:p>
          <w:p w:rsidR="00C9213C" w:rsidRPr="00E35376" w:rsidRDefault="00C9213C" w:rsidP="00563FC1">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9.5</w:t>
            </w:r>
          </w:p>
        </w:tc>
        <w:tc>
          <w:tcPr>
            <w:tcW w:w="6785" w:type="dxa"/>
          </w:tcPr>
          <w:p w:rsidR="00C9213C" w:rsidRPr="00E35376" w:rsidRDefault="00C9213C" w:rsidP="00563FC1">
            <w:pPr>
              <w:keepNext/>
              <w:jc w:val="both"/>
              <w:rPr>
                <w:i/>
              </w:rPr>
            </w:pPr>
            <w:r w:rsidRPr="00E35376">
              <w:rPr>
                <w:i/>
              </w:rPr>
              <w:t>New criminal offences should be subject to the rules on territorial application in sections 6 and 7 of the Crimes Act 1961.</w:t>
            </w:r>
          </w:p>
          <w:p w:rsidR="00C9213C" w:rsidRPr="00E35376" w:rsidRDefault="00C9213C" w:rsidP="00563FC1">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Borders>
              <w:bottom w:val="single" w:sz="4" w:space="0" w:color="auto"/>
            </w:tcBorders>
          </w:tcPr>
          <w:p w:rsidR="00C9213C" w:rsidRDefault="00C9213C" w:rsidP="00E35376">
            <w:pPr>
              <w:keepNext/>
              <w:jc w:val="both"/>
              <w:rPr>
                <w:i/>
              </w:rPr>
            </w:pPr>
            <w:r>
              <w:rPr>
                <w:i/>
              </w:rPr>
              <w:t>9.6</w:t>
            </w:r>
          </w:p>
        </w:tc>
        <w:tc>
          <w:tcPr>
            <w:tcW w:w="6785" w:type="dxa"/>
            <w:tcBorders>
              <w:bottom w:val="single" w:sz="4" w:space="0" w:color="auto"/>
            </w:tcBorders>
          </w:tcPr>
          <w:p w:rsidR="00C9213C" w:rsidRPr="00E35376" w:rsidRDefault="00C9213C" w:rsidP="00563FC1">
            <w:pPr>
              <w:keepNext/>
              <w:jc w:val="both"/>
              <w:rPr>
                <w:i/>
              </w:rPr>
            </w:pPr>
            <w:r w:rsidRPr="00E35376">
              <w:rPr>
                <w:i/>
              </w:rPr>
              <w:t>Legislation should include sufficient powers to enable enforcement agencies to request and use information from overseas agencies.</w:t>
            </w:r>
          </w:p>
          <w:p w:rsidR="00C9213C" w:rsidRPr="00E35376" w:rsidRDefault="00C9213C" w:rsidP="00563FC1">
            <w:pPr>
              <w:keepNext/>
              <w:ind w:left="720"/>
              <w:jc w:val="both"/>
              <w:rPr>
                <w:i/>
              </w:rPr>
            </w:pPr>
          </w:p>
        </w:tc>
        <w:tc>
          <w:tcPr>
            <w:tcW w:w="1153" w:type="dxa"/>
            <w:tcBorders>
              <w:bottom w:val="single" w:sz="4" w:space="0" w:color="auto"/>
            </w:tcBorders>
          </w:tcPr>
          <w:p w:rsidR="00C9213C" w:rsidRDefault="00C9213C" w:rsidP="00E35376">
            <w:pPr>
              <w:keepNext/>
              <w:jc w:val="both"/>
            </w:pPr>
          </w:p>
        </w:tc>
        <w:tc>
          <w:tcPr>
            <w:tcW w:w="1134" w:type="dxa"/>
            <w:tcBorders>
              <w:bottom w:val="single" w:sz="4" w:space="0" w:color="auto"/>
            </w:tcBorders>
          </w:tcPr>
          <w:p w:rsidR="00C9213C" w:rsidRDefault="00C9213C" w:rsidP="00E35376">
            <w:pPr>
              <w:keepNext/>
              <w:jc w:val="both"/>
            </w:pPr>
          </w:p>
        </w:tc>
        <w:tc>
          <w:tcPr>
            <w:tcW w:w="3681" w:type="dxa"/>
            <w:tcBorders>
              <w:bottom w:val="single" w:sz="4" w:space="0" w:color="auto"/>
            </w:tcBorders>
          </w:tcPr>
          <w:p w:rsidR="00C9213C" w:rsidRDefault="00C9213C" w:rsidP="00E35376">
            <w:pPr>
              <w:keepNext/>
              <w:jc w:val="both"/>
            </w:pPr>
          </w:p>
        </w:tc>
      </w:tr>
      <w:tr w:rsidR="00C9213C" w:rsidTr="002D783E">
        <w:tc>
          <w:tcPr>
            <w:tcW w:w="13847" w:type="dxa"/>
            <w:gridSpan w:val="5"/>
            <w:shd w:val="clear" w:color="auto" w:fill="D9D9D9" w:themeFill="background1" w:themeFillShade="D9"/>
          </w:tcPr>
          <w:p w:rsidR="00C9213C" w:rsidRDefault="00C9213C" w:rsidP="00E35376">
            <w:pPr>
              <w:keepNext/>
              <w:jc w:val="both"/>
            </w:pPr>
          </w:p>
          <w:p w:rsidR="00C9213C" w:rsidRPr="00940C9E" w:rsidRDefault="00C9213C" w:rsidP="00563FC1">
            <w:pPr>
              <w:keepNext/>
              <w:jc w:val="center"/>
              <w:rPr>
                <w:b/>
              </w:rPr>
            </w:pPr>
            <w:r w:rsidRPr="00940C9E">
              <w:rPr>
                <w:b/>
              </w:rPr>
              <w:t>Chapter 10: Applying the statute to the Crown</w:t>
            </w:r>
          </w:p>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10.1</w:t>
            </w:r>
          </w:p>
        </w:tc>
        <w:tc>
          <w:tcPr>
            <w:tcW w:w="6785" w:type="dxa"/>
          </w:tcPr>
          <w:p w:rsidR="00C9213C" w:rsidRPr="00E35376" w:rsidRDefault="00C9213C" w:rsidP="00F0418F">
            <w:pPr>
              <w:keepNext/>
              <w:jc w:val="both"/>
              <w:rPr>
                <w:i/>
              </w:rPr>
            </w:pPr>
            <w:r w:rsidRPr="00E35376">
              <w:rPr>
                <w:i/>
              </w:rPr>
              <w:t>Legislation must state whether or not it binds the Crown.</w:t>
            </w:r>
          </w:p>
          <w:p w:rsidR="00C9213C" w:rsidRPr="00E35376" w:rsidRDefault="00C9213C" w:rsidP="00563FC1">
            <w:pPr>
              <w:keepNext/>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10.2</w:t>
            </w:r>
          </w:p>
        </w:tc>
        <w:tc>
          <w:tcPr>
            <w:tcW w:w="6785" w:type="dxa"/>
          </w:tcPr>
          <w:p w:rsidR="00C9213C" w:rsidRPr="00E35376" w:rsidRDefault="00C9213C" w:rsidP="00F0418F">
            <w:pPr>
              <w:keepNext/>
              <w:jc w:val="both"/>
              <w:rPr>
                <w:i/>
              </w:rPr>
            </w:pPr>
            <w:r w:rsidRPr="00E35376">
              <w:rPr>
                <w:i/>
              </w:rPr>
              <w:t>Legislation should apply to the Crown unless there are good reasons for it not to do so.</w:t>
            </w:r>
          </w:p>
          <w:p w:rsidR="00C9213C" w:rsidRPr="00E35376" w:rsidRDefault="00C9213C" w:rsidP="00563FC1">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10.3</w:t>
            </w:r>
          </w:p>
        </w:tc>
        <w:tc>
          <w:tcPr>
            <w:tcW w:w="6785" w:type="dxa"/>
          </w:tcPr>
          <w:p w:rsidR="00C9213C" w:rsidRPr="00E35376" w:rsidRDefault="00C9213C" w:rsidP="00F0418F">
            <w:pPr>
              <w:keepNext/>
              <w:jc w:val="both"/>
              <w:rPr>
                <w:i/>
              </w:rPr>
            </w:pPr>
            <w:r w:rsidRPr="00E35376">
              <w:rPr>
                <w:i/>
              </w:rPr>
              <w:t>Any immunity from civil liability should be separately justified and should not be overly broad.</w:t>
            </w:r>
          </w:p>
          <w:p w:rsidR="00C9213C" w:rsidRPr="00E35376" w:rsidRDefault="00C9213C" w:rsidP="00563FC1">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Borders>
              <w:bottom w:val="single" w:sz="4" w:space="0" w:color="auto"/>
            </w:tcBorders>
          </w:tcPr>
          <w:p w:rsidR="00C9213C" w:rsidRDefault="00C9213C" w:rsidP="00E35376">
            <w:pPr>
              <w:keepNext/>
              <w:jc w:val="both"/>
              <w:rPr>
                <w:i/>
              </w:rPr>
            </w:pPr>
            <w:r>
              <w:rPr>
                <w:i/>
              </w:rPr>
              <w:t>10.4</w:t>
            </w:r>
          </w:p>
        </w:tc>
        <w:tc>
          <w:tcPr>
            <w:tcW w:w="6785" w:type="dxa"/>
            <w:tcBorders>
              <w:bottom w:val="single" w:sz="4" w:space="0" w:color="auto"/>
            </w:tcBorders>
          </w:tcPr>
          <w:p w:rsidR="00C9213C" w:rsidRPr="00E35376" w:rsidRDefault="00C9213C" w:rsidP="00F0418F">
            <w:pPr>
              <w:keepNext/>
              <w:jc w:val="both"/>
              <w:rPr>
                <w:i/>
              </w:rPr>
            </w:pPr>
            <w:r w:rsidRPr="00E35376">
              <w:rPr>
                <w:i/>
              </w:rPr>
              <w:t>Government departments may be liable to criminal prosecution only if compelling reasons exist for doing so.</w:t>
            </w:r>
          </w:p>
          <w:p w:rsidR="00C9213C" w:rsidRPr="00E35376" w:rsidRDefault="00C9213C" w:rsidP="00563FC1">
            <w:pPr>
              <w:keepNext/>
              <w:ind w:left="720"/>
              <w:jc w:val="both"/>
              <w:rPr>
                <w:i/>
              </w:rPr>
            </w:pPr>
          </w:p>
        </w:tc>
        <w:tc>
          <w:tcPr>
            <w:tcW w:w="1153" w:type="dxa"/>
            <w:tcBorders>
              <w:bottom w:val="single" w:sz="4" w:space="0" w:color="auto"/>
            </w:tcBorders>
          </w:tcPr>
          <w:p w:rsidR="00C9213C" w:rsidRDefault="00C9213C" w:rsidP="00E35376">
            <w:pPr>
              <w:keepNext/>
              <w:jc w:val="both"/>
            </w:pPr>
          </w:p>
        </w:tc>
        <w:tc>
          <w:tcPr>
            <w:tcW w:w="1134" w:type="dxa"/>
            <w:tcBorders>
              <w:bottom w:val="single" w:sz="4" w:space="0" w:color="auto"/>
            </w:tcBorders>
          </w:tcPr>
          <w:p w:rsidR="00C9213C" w:rsidRDefault="00C9213C" w:rsidP="00E35376">
            <w:pPr>
              <w:keepNext/>
              <w:jc w:val="both"/>
            </w:pPr>
          </w:p>
        </w:tc>
        <w:tc>
          <w:tcPr>
            <w:tcW w:w="3681" w:type="dxa"/>
            <w:tcBorders>
              <w:bottom w:val="single" w:sz="4" w:space="0" w:color="auto"/>
            </w:tcBorders>
          </w:tcPr>
          <w:p w:rsidR="00C9213C" w:rsidRDefault="00C9213C" w:rsidP="00E35376">
            <w:pPr>
              <w:keepNext/>
              <w:jc w:val="both"/>
            </w:pPr>
          </w:p>
        </w:tc>
      </w:tr>
      <w:tr w:rsidR="00C9213C" w:rsidTr="002441BD">
        <w:tc>
          <w:tcPr>
            <w:tcW w:w="13847" w:type="dxa"/>
            <w:gridSpan w:val="5"/>
            <w:shd w:val="clear" w:color="auto" w:fill="D9D9D9" w:themeFill="background1" w:themeFillShade="D9"/>
          </w:tcPr>
          <w:p w:rsidR="00C9213C" w:rsidRDefault="00C9213C" w:rsidP="00E35376">
            <w:pPr>
              <w:keepNext/>
              <w:jc w:val="both"/>
            </w:pPr>
          </w:p>
          <w:p w:rsidR="00C9213C" w:rsidRPr="00940C9E" w:rsidRDefault="00C9213C" w:rsidP="00563FC1">
            <w:pPr>
              <w:keepNext/>
              <w:jc w:val="center"/>
              <w:rPr>
                <w:b/>
              </w:rPr>
            </w:pPr>
            <w:r w:rsidRPr="00940C9E">
              <w:rPr>
                <w:b/>
              </w:rPr>
              <w:t>Chapter 11: Affecting existing rights, duties, situations and addressing past conduct</w:t>
            </w:r>
          </w:p>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11.1</w:t>
            </w:r>
          </w:p>
        </w:tc>
        <w:tc>
          <w:tcPr>
            <w:tcW w:w="6785" w:type="dxa"/>
          </w:tcPr>
          <w:p w:rsidR="00C9213C" w:rsidRPr="00E35376" w:rsidRDefault="00C9213C" w:rsidP="00F0418F">
            <w:pPr>
              <w:keepNext/>
              <w:jc w:val="both"/>
              <w:rPr>
                <w:i/>
              </w:rPr>
            </w:pPr>
            <w:r w:rsidRPr="00E35376">
              <w:rPr>
                <w:i/>
              </w:rPr>
              <w:t>Legislation should not have retrospective effect.</w:t>
            </w:r>
          </w:p>
          <w:p w:rsidR="00C9213C" w:rsidRPr="00E35376" w:rsidRDefault="00C9213C" w:rsidP="00563FC1">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11.2</w:t>
            </w:r>
          </w:p>
        </w:tc>
        <w:tc>
          <w:tcPr>
            <w:tcW w:w="6785" w:type="dxa"/>
          </w:tcPr>
          <w:p w:rsidR="00C9213C" w:rsidRPr="00E35376" w:rsidRDefault="00C9213C" w:rsidP="00F0418F">
            <w:pPr>
              <w:keepNext/>
              <w:jc w:val="both"/>
              <w:rPr>
                <w:i/>
              </w:rPr>
            </w:pPr>
            <w:r w:rsidRPr="00E35376">
              <w:rPr>
                <w:i/>
              </w:rPr>
              <w:t xml:space="preserve">Potential transitional or savings issues should be identified early in the policy development process. </w:t>
            </w:r>
          </w:p>
          <w:p w:rsidR="00C9213C" w:rsidRPr="00E35376" w:rsidRDefault="00C9213C" w:rsidP="00563FC1">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11.3</w:t>
            </w:r>
          </w:p>
        </w:tc>
        <w:tc>
          <w:tcPr>
            <w:tcW w:w="6785" w:type="dxa"/>
          </w:tcPr>
          <w:p w:rsidR="00C9213C" w:rsidRPr="00563FC1" w:rsidRDefault="00C9213C" w:rsidP="00F0418F">
            <w:pPr>
              <w:keepNext/>
              <w:jc w:val="both"/>
              <w:rPr>
                <w:i/>
              </w:rPr>
            </w:pPr>
            <w:r w:rsidRPr="00563FC1">
              <w:rPr>
                <w:i/>
              </w:rPr>
              <w:t>Legislation should not include specific transitional provisions if the generic provisions in the Interpretation Act 1999 satisfactorily address the issues.</w:t>
            </w:r>
          </w:p>
          <w:p w:rsidR="00C9213C" w:rsidRPr="00E35376" w:rsidRDefault="00C9213C" w:rsidP="00563FC1">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11.4</w:t>
            </w:r>
          </w:p>
        </w:tc>
        <w:tc>
          <w:tcPr>
            <w:tcW w:w="6785" w:type="dxa"/>
          </w:tcPr>
          <w:p w:rsidR="00C9213C" w:rsidRPr="00E35376" w:rsidRDefault="00C9213C" w:rsidP="00F0418F">
            <w:pPr>
              <w:keepNext/>
              <w:jc w:val="both"/>
              <w:rPr>
                <w:i/>
              </w:rPr>
            </w:pPr>
            <w:r w:rsidRPr="00E35376">
              <w:rPr>
                <w:i/>
              </w:rPr>
              <w:t>New legislation should not pre-empt matters that are currently before the courts or deprive successful litigants the benefit of any court decision in their favour.</w:t>
            </w:r>
          </w:p>
          <w:p w:rsidR="00C9213C" w:rsidRPr="00563FC1" w:rsidRDefault="00C9213C" w:rsidP="00563FC1">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11.5</w:t>
            </w:r>
          </w:p>
        </w:tc>
        <w:tc>
          <w:tcPr>
            <w:tcW w:w="6785" w:type="dxa"/>
          </w:tcPr>
          <w:p w:rsidR="00C9213C" w:rsidRPr="00E35376" w:rsidRDefault="00C9213C" w:rsidP="00F0418F">
            <w:pPr>
              <w:keepNext/>
              <w:jc w:val="both"/>
              <w:rPr>
                <w:i/>
              </w:rPr>
            </w:pPr>
            <w:r w:rsidRPr="00E35376">
              <w:rPr>
                <w:i/>
              </w:rPr>
              <w:t xml:space="preserve">All transitional or savings issues that have been identified should be addressed. </w:t>
            </w:r>
          </w:p>
          <w:p w:rsidR="00C9213C" w:rsidRPr="00E35376" w:rsidRDefault="00C9213C" w:rsidP="00563FC1">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Borders>
              <w:bottom w:val="single" w:sz="4" w:space="0" w:color="auto"/>
            </w:tcBorders>
          </w:tcPr>
          <w:p w:rsidR="00C9213C" w:rsidRDefault="00C9213C" w:rsidP="00E35376">
            <w:pPr>
              <w:keepNext/>
              <w:jc w:val="both"/>
              <w:rPr>
                <w:i/>
              </w:rPr>
            </w:pPr>
            <w:r>
              <w:rPr>
                <w:i/>
              </w:rPr>
              <w:t>11.6</w:t>
            </w:r>
          </w:p>
        </w:tc>
        <w:tc>
          <w:tcPr>
            <w:tcW w:w="6785" w:type="dxa"/>
            <w:tcBorders>
              <w:bottom w:val="single" w:sz="4" w:space="0" w:color="auto"/>
            </w:tcBorders>
          </w:tcPr>
          <w:p w:rsidR="00C9213C" w:rsidRPr="00E35376" w:rsidRDefault="00C9213C" w:rsidP="00F0418F">
            <w:pPr>
              <w:keepNext/>
              <w:jc w:val="both"/>
              <w:rPr>
                <w:i/>
              </w:rPr>
            </w:pPr>
            <w:r w:rsidRPr="00E35376">
              <w:rPr>
                <w:i/>
              </w:rPr>
              <w:t xml:space="preserve">All transitional provisions should be contained in the new legislation. </w:t>
            </w:r>
          </w:p>
          <w:p w:rsidR="00C9213C" w:rsidRPr="00E35376" w:rsidRDefault="00C9213C" w:rsidP="00563FC1">
            <w:pPr>
              <w:keepNext/>
              <w:ind w:left="720"/>
              <w:jc w:val="both"/>
              <w:rPr>
                <w:i/>
              </w:rPr>
            </w:pPr>
          </w:p>
        </w:tc>
        <w:tc>
          <w:tcPr>
            <w:tcW w:w="1153" w:type="dxa"/>
            <w:tcBorders>
              <w:bottom w:val="single" w:sz="4" w:space="0" w:color="auto"/>
            </w:tcBorders>
          </w:tcPr>
          <w:p w:rsidR="00C9213C" w:rsidRDefault="00C9213C" w:rsidP="00E35376">
            <w:pPr>
              <w:keepNext/>
              <w:jc w:val="both"/>
            </w:pPr>
          </w:p>
        </w:tc>
        <w:tc>
          <w:tcPr>
            <w:tcW w:w="1134" w:type="dxa"/>
            <w:tcBorders>
              <w:bottom w:val="single" w:sz="4" w:space="0" w:color="auto"/>
            </w:tcBorders>
          </w:tcPr>
          <w:p w:rsidR="00C9213C" w:rsidRDefault="00C9213C" w:rsidP="00E35376">
            <w:pPr>
              <w:keepNext/>
              <w:jc w:val="both"/>
            </w:pPr>
          </w:p>
        </w:tc>
        <w:tc>
          <w:tcPr>
            <w:tcW w:w="3681" w:type="dxa"/>
            <w:tcBorders>
              <w:bottom w:val="single" w:sz="4" w:space="0" w:color="auto"/>
            </w:tcBorders>
          </w:tcPr>
          <w:p w:rsidR="00C9213C" w:rsidRDefault="00C9213C" w:rsidP="00E35376">
            <w:pPr>
              <w:keepNext/>
              <w:jc w:val="both"/>
            </w:pPr>
          </w:p>
        </w:tc>
      </w:tr>
      <w:tr w:rsidR="00C9213C" w:rsidTr="00717391">
        <w:tc>
          <w:tcPr>
            <w:tcW w:w="13847" w:type="dxa"/>
            <w:gridSpan w:val="5"/>
            <w:shd w:val="clear" w:color="auto" w:fill="D9D9D9" w:themeFill="background1" w:themeFillShade="D9"/>
          </w:tcPr>
          <w:p w:rsidR="00C9213C" w:rsidRDefault="00C9213C" w:rsidP="00E35376">
            <w:pPr>
              <w:keepNext/>
              <w:jc w:val="both"/>
            </w:pPr>
          </w:p>
          <w:p w:rsidR="00C9213C" w:rsidRPr="00940C9E" w:rsidRDefault="00C9213C" w:rsidP="00F0418F">
            <w:pPr>
              <w:keepNext/>
              <w:jc w:val="center"/>
              <w:rPr>
                <w:b/>
              </w:rPr>
            </w:pPr>
            <w:r w:rsidRPr="00940C9E">
              <w:rPr>
                <w:b/>
              </w:rPr>
              <w:t>Chapter 12: Statutory interpretation and the Interpretation Act 1999</w:t>
            </w:r>
          </w:p>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12.1</w:t>
            </w:r>
          </w:p>
        </w:tc>
        <w:tc>
          <w:tcPr>
            <w:tcW w:w="6785" w:type="dxa"/>
          </w:tcPr>
          <w:p w:rsidR="00C9213C" w:rsidRPr="00E35376" w:rsidRDefault="00C9213C" w:rsidP="00F0418F">
            <w:pPr>
              <w:keepNext/>
              <w:jc w:val="both"/>
              <w:rPr>
                <w:i/>
              </w:rPr>
            </w:pPr>
            <w:r w:rsidRPr="00E35376">
              <w:rPr>
                <w:i/>
              </w:rPr>
              <w:t>The primary rules of statutory interpretation should be considered when designing legislation.</w:t>
            </w:r>
          </w:p>
          <w:p w:rsidR="00C9213C" w:rsidRPr="00E35376" w:rsidRDefault="00C9213C" w:rsidP="00F0418F">
            <w:pPr>
              <w:keepNext/>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12.2</w:t>
            </w:r>
          </w:p>
        </w:tc>
        <w:tc>
          <w:tcPr>
            <w:tcW w:w="6785" w:type="dxa"/>
          </w:tcPr>
          <w:p w:rsidR="00C9213C" w:rsidRPr="00E35376" w:rsidRDefault="00C9213C" w:rsidP="00F0418F">
            <w:pPr>
              <w:keepNext/>
              <w:jc w:val="both"/>
              <w:rPr>
                <w:i/>
              </w:rPr>
            </w:pPr>
            <w:r w:rsidRPr="00E35376">
              <w:rPr>
                <w:i/>
              </w:rPr>
              <w:t>Legislation should be consistent with the Interpretation Act 1999. Matters that are already provided for in the Interpretation Act should not be re-stated in new legislation.</w:t>
            </w:r>
          </w:p>
          <w:p w:rsidR="00C9213C" w:rsidRPr="00E35376" w:rsidRDefault="00C9213C" w:rsidP="00F0418F">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Borders>
              <w:bottom w:val="single" w:sz="4" w:space="0" w:color="auto"/>
            </w:tcBorders>
          </w:tcPr>
          <w:p w:rsidR="00C9213C" w:rsidRDefault="00C9213C" w:rsidP="00E35376">
            <w:pPr>
              <w:keepNext/>
              <w:jc w:val="both"/>
              <w:rPr>
                <w:i/>
              </w:rPr>
            </w:pPr>
            <w:r>
              <w:rPr>
                <w:i/>
              </w:rPr>
              <w:t>12.3</w:t>
            </w:r>
          </w:p>
        </w:tc>
        <w:tc>
          <w:tcPr>
            <w:tcW w:w="6785" w:type="dxa"/>
            <w:tcBorders>
              <w:bottom w:val="single" w:sz="4" w:space="0" w:color="auto"/>
            </w:tcBorders>
          </w:tcPr>
          <w:p w:rsidR="00C9213C" w:rsidRPr="00E35376" w:rsidRDefault="00C9213C" w:rsidP="00F0418F">
            <w:pPr>
              <w:keepNext/>
              <w:jc w:val="both"/>
              <w:rPr>
                <w:i/>
              </w:rPr>
            </w:pPr>
            <w:r w:rsidRPr="00E35376">
              <w:rPr>
                <w:i/>
              </w:rPr>
              <w:t>Legislation should apply the definitions in Part 5 of the Interpretation Act. New legislation should not re-state those definitions.</w:t>
            </w:r>
          </w:p>
          <w:p w:rsidR="00C9213C" w:rsidRPr="00E35376" w:rsidRDefault="00C9213C" w:rsidP="00F0418F">
            <w:pPr>
              <w:keepNext/>
              <w:ind w:left="720"/>
              <w:jc w:val="both"/>
              <w:rPr>
                <w:i/>
              </w:rPr>
            </w:pPr>
          </w:p>
        </w:tc>
        <w:tc>
          <w:tcPr>
            <w:tcW w:w="1153" w:type="dxa"/>
            <w:tcBorders>
              <w:bottom w:val="single" w:sz="4" w:space="0" w:color="auto"/>
            </w:tcBorders>
          </w:tcPr>
          <w:p w:rsidR="00C9213C" w:rsidRDefault="00C9213C" w:rsidP="00E35376">
            <w:pPr>
              <w:keepNext/>
              <w:jc w:val="both"/>
            </w:pPr>
          </w:p>
        </w:tc>
        <w:tc>
          <w:tcPr>
            <w:tcW w:w="1134" w:type="dxa"/>
            <w:tcBorders>
              <w:bottom w:val="single" w:sz="4" w:space="0" w:color="auto"/>
            </w:tcBorders>
          </w:tcPr>
          <w:p w:rsidR="00C9213C" w:rsidRDefault="00C9213C" w:rsidP="00E35376">
            <w:pPr>
              <w:keepNext/>
              <w:jc w:val="both"/>
            </w:pPr>
          </w:p>
        </w:tc>
        <w:tc>
          <w:tcPr>
            <w:tcW w:w="3681" w:type="dxa"/>
            <w:tcBorders>
              <w:bottom w:val="single" w:sz="4" w:space="0" w:color="auto"/>
            </w:tcBorders>
          </w:tcPr>
          <w:p w:rsidR="00C9213C" w:rsidRDefault="00C9213C" w:rsidP="00E35376">
            <w:pPr>
              <w:keepNext/>
              <w:jc w:val="both"/>
            </w:pPr>
          </w:p>
        </w:tc>
      </w:tr>
      <w:tr w:rsidR="00C9213C" w:rsidTr="00821791">
        <w:tc>
          <w:tcPr>
            <w:tcW w:w="13847" w:type="dxa"/>
            <w:gridSpan w:val="5"/>
            <w:shd w:val="clear" w:color="auto" w:fill="D9D9D9" w:themeFill="background1" w:themeFillShade="D9"/>
          </w:tcPr>
          <w:p w:rsidR="00C9213C" w:rsidRDefault="00C9213C" w:rsidP="00E35376">
            <w:pPr>
              <w:keepNext/>
              <w:jc w:val="both"/>
            </w:pPr>
          </w:p>
          <w:p w:rsidR="00C9213C" w:rsidRPr="00940C9E" w:rsidRDefault="00C9213C" w:rsidP="00F0418F">
            <w:pPr>
              <w:keepNext/>
              <w:jc w:val="center"/>
              <w:rPr>
                <w:b/>
              </w:rPr>
            </w:pPr>
            <w:r w:rsidRPr="00940C9E">
              <w:rPr>
                <w:b/>
              </w:rPr>
              <w:t>Chapter 13: Delegating law-making powers to the executive</w:t>
            </w:r>
          </w:p>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13.1</w:t>
            </w:r>
          </w:p>
        </w:tc>
        <w:tc>
          <w:tcPr>
            <w:tcW w:w="6785" w:type="dxa"/>
          </w:tcPr>
          <w:p w:rsidR="00C9213C" w:rsidRPr="00E35376" w:rsidRDefault="00C9213C" w:rsidP="00F0418F">
            <w:pPr>
              <w:keepNext/>
              <w:jc w:val="both"/>
              <w:rPr>
                <w:i/>
                <w:lang w:eastAsia="en-NZ"/>
              </w:rPr>
            </w:pPr>
            <w:r w:rsidRPr="00E35376">
              <w:rPr>
                <w:i/>
                <w:lang w:eastAsia="en-NZ"/>
              </w:rPr>
              <w:t>Legislation should not authorise delegated legislation to be made in respect of matters which are appropriate for primary legislation.</w:t>
            </w:r>
          </w:p>
          <w:p w:rsidR="00C9213C" w:rsidRPr="00E35376" w:rsidRDefault="00C9213C" w:rsidP="00F0418F">
            <w:pPr>
              <w:keepNext/>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13.2</w:t>
            </w:r>
          </w:p>
        </w:tc>
        <w:tc>
          <w:tcPr>
            <w:tcW w:w="6785" w:type="dxa"/>
          </w:tcPr>
          <w:p w:rsidR="00C9213C" w:rsidRPr="00E35376" w:rsidRDefault="00C9213C" w:rsidP="00F0418F">
            <w:pPr>
              <w:keepNext/>
              <w:jc w:val="both"/>
              <w:rPr>
                <w:i/>
                <w:lang w:eastAsia="en-NZ"/>
              </w:rPr>
            </w:pPr>
            <w:r w:rsidRPr="00E35376">
              <w:rPr>
                <w:i/>
                <w:lang w:eastAsia="en-NZ"/>
              </w:rPr>
              <w:t>The empowering Act should define clearly the purposes for creating delegated legislation.</w:t>
            </w:r>
          </w:p>
          <w:p w:rsidR="00C9213C" w:rsidRPr="00E35376" w:rsidRDefault="00C9213C" w:rsidP="00F0418F">
            <w:pPr>
              <w:keepNext/>
              <w:ind w:left="720"/>
              <w:jc w:val="both"/>
              <w:rPr>
                <w:i/>
                <w:lang w:eastAsia="en-NZ"/>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13.3</w:t>
            </w:r>
          </w:p>
        </w:tc>
        <w:tc>
          <w:tcPr>
            <w:tcW w:w="6785" w:type="dxa"/>
          </w:tcPr>
          <w:p w:rsidR="00C9213C" w:rsidRPr="00E35376" w:rsidRDefault="00C9213C" w:rsidP="00F0418F">
            <w:pPr>
              <w:keepNext/>
              <w:jc w:val="both"/>
              <w:rPr>
                <w:i/>
                <w:lang w:eastAsia="en-NZ"/>
              </w:rPr>
            </w:pPr>
            <w:r w:rsidRPr="00E35376">
              <w:rPr>
                <w:i/>
                <w:lang w:eastAsia="en-NZ"/>
              </w:rPr>
              <w:t>The person authorised to make delegated legislation must have an appropriate level of expertise, and hold an appropriate office having regard to the importance of the issues and the nature of any safeguards that are in place.</w:t>
            </w:r>
          </w:p>
          <w:p w:rsidR="00C9213C" w:rsidRPr="00E35376" w:rsidRDefault="00C9213C" w:rsidP="00F0418F">
            <w:pPr>
              <w:keepNext/>
              <w:ind w:left="720"/>
              <w:jc w:val="both"/>
              <w:rPr>
                <w:i/>
                <w:lang w:eastAsia="en-NZ"/>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13.4</w:t>
            </w:r>
          </w:p>
        </w:tc>
        <w:tc>
          <w:tcPr>
            <w:tcW w:w="6785" w:type="dxa"/>
          </w:tcPr>
          <w:p w:rsidR="00C9213C" w:rsidRPr="00E35376" w:rsidRDefault="00C9213C" w:rsidP="00F0418F">
            <w:pPr>
              <w:keepNext/>
              <w:jc w:val="both"/>
              <w:rPr>
                <w:i/>
              </w:rPr>
            </w:pPr>
            <w:r w:rsidRPr="00E35376">
              <w:rPr>
                <w:i/>
              </w:rPr>
              <w:t>All delegated legislation should be subject to an appropriate level of scrutiny, publication and review.</w:t>
            </w:r>
          </w:p>
          <w:p w:rsidR="00C9213C" w:rsidRPr="00E35376" w:rsidRDefault="00C9213C" w:rsidP="00F0418F">
            <w:pPr>
              <w:ind w:left="720"/>
              <w:jc w:val="both"/>
              <w:rPr>
                <w:i/>
                <w:lang w:eastAsia="en-NZ"/>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13.5</w:t>
            </w:r>
          </w:p>
        </w:tc>
        <w:tc>
          <w:tcPr>
            <w:tcW w:w="6785" w:type="dxa"/>
          </w:tcPr>
          <w:p w:rsidR="00C9213C" w:rsidRPr="00E35376" w:rsidRDefault="00C9213C" w:rsidP="00F0418F">
            <w:pPr>
              <w:keepNext/>
              <w:jc w:val="both"/>
              <w:rPr>
                <w:i/>
              </w:rPr>
            </w:pPr>
            <w:r w:rsidRPr="00E35376">
              <w:rPr>
                <w:i/>
              </w:rPr>
              <w:t>Legislation should address any special features of the power to make delegated legislation.</w:t>
            </w:r>
          </w:p>
          <w:p w:rsidR="00C9213C" w:rsidRPr="00E35376" w:rsidRDefault="00C9213C" w:rsidP="00F0418F">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13.6</w:t>
            </w:r>
          </w:p>
        </w:tc>
        <w:tc>
          <w:tcPr>
            <w:tcW w:w="6785" w:type="dxa"/>
          </w:tcPr>
          <w:p w:rsidR="00C9213C" w:rsidRPr="00E35376" w:rsidRDefault="00C9213C" w:rsidP="00F0418F">
            <w:pPr>
              <w:keepNext/>
              <w:jc w:val="both"/>
              <w:rPr>
                <w:i/>
              </w:rPr>
            </w:pPr>
            <w:r w:rsidRPr="00E35376">
              <w:rPr>
                <w:i/>
              </w:rPr>
              <w:t>Incorporation by reference should only be used where it is impractical to do otherwise.</w:t>
            </w:r>
          </w:p>
          <w:p w:rsidR="00C9213C" w:rsidRPr="00E35376" w:rsidRDefault="00C9213C" w:rsidP="00F0418F">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5734C9">
        <w:tc>
          <w:tcPr>
            <w:tcW w:w="13847" w:type="dxa"/>
            <w:gridSpan w:val="5"/>
            <w:shd w:val="clear" w:color="auto" w:fill="D9D9D9" w:themeFill="background1" w:themeFillShade="D9"/>
          </w:tcPr>
          <w:p w:rsidR="00C9213C" w:rsidRDefault="00C9213C" w:rsidP="00E35376">
            <w:pPr>
              <w:keepNext/>
              <w:jc w:val="both"/>
            </w:pPr>
            <w:r>
              <w:br w:type="page"/>
            </w:r>
          </w:p>
          <w:p w:rsidR="00C9213C" w:rsidRPr="00940C9E" w:rsidRDefault="00C9213C" w:rsidP="00F0418F">
            <w:pPr>
              <w:keepNext/>
              <w:jc w:val="center"/>
              <w:rPr>
                <w:b/>
              </w:rPr>
            </w:pPr>
            <w:r w:rsidRPr="00940C9E">
              <w:rPr>
                <w:b/>
              </w:rPr>
              <w:t>Chapter 14: Granting powers of exemption</w:t>
            </w:r>
          </w:p>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14.1</w:t>
            </w:r>
          </w:p>
        </w:tc>
        <w:tc>
          <w:tcPr>
            <w:tcW w:w="6785" w:type="dxa"/>
          </w:tcPr>
          <w:p w:rsidR="00C9213C" w:rsidRPr="00E35376" w:rsidRDefault="00C9213C" w:rsidP="00F0418F">
            <w:pPr>
              <w:keepNext/>
              <w:jc w:val="both"/>
              <w:rPr>
                <w:i/>
              </w:rPr>
            </w:pPr>
            <w:r w:rsidRPr="00E35376">
              <w:rPr>
                <w:i/>
              </w:rPr>
              <w:t xml:space="preserve">There must be compelling reasons to grant a power of exemption. </w:t>
            </w:r>
          </w:p>
          <w:p w:rsidR="00C9213C" w:rsidRPr="00E35376" w:rsidRDefault="00C9213C" w:rsidP="00F0418F">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14.2</w:t>
            </w:r>
          </w:p>
        </w:tc>
        <w:tc>
          <w:tcPr>
            <w:tcW w:w="6785" w:type="dxa"/>
          </w:tcPr>
          <w:p w:rsidR="00C9213C" w:rsidRPr="00E35376" w:rsidRDefault="00C9213C" w:rsidP="00F0418F">
            <w:pPr>
              <w:keepNext/>
              <w:jc w:val="both"/>
              <w:rPr>
                <w:i/>
              </w:rPr>
            </w:pPr>
            <w:r w:rsidRPr="00E35376">
              <w:rPr>
                <w:i/>
              </w:rPr>
              <w:t>Legislation must specify appropriate safeguards to apply to powers of exemption.</w:t>
            </w:r>
          </w:p>
          <w:p w:rsidR="00C9213C" w:rsidRPr="00E35376" w:rsidRDefault="00C9213C" w:rsidP="00F0418F">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14.3</w:t>
            </w:r>
          </w:p>
        </w:tc>
        <w:tc>
          <w:tcPr>
            <w:tcW w:w="6785" w:type="dxa"/>
          </w:tcPr>
          <w:p w:rsidR="00C9213C" w:rsidRPr="00E35376" w:rsidRDefault="00C9213C" w:rsidP="00F0418F">
            <w:pPr>
              <w:keepNext/>
              <w:jc w:val="both"/>
              <w:rPr>
                <w:i/>
              </w:rPr>
            </w:pPr>
            <w:r w:rsidRPr="00E35376">
              <w:rPr>
                <w:i/>
              </w:rPr>
              <w:t>Legislation should clearly identify whether or not the power of exemption will be subject to the disallowance and/or publication procedures in the Legislation Act 2012.</w:t>
            </w:r>
          </w:p>
          <w:p w:rsidR="00C9213C" w:rsidRPr="00E35376" w:rsidRDefault="00C9213C" w:rsidP="00F0418F">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Borders>
              <w:bottom w:val="single" w:sz="4" w:space="0" w:color="auto"/>
            </w:tcBorders>
          </w:tcPr>
          <w:p w:rsidR="00C9213C" w:rsidRDefault="00C9213C" w:rsidP="00E35376">
            <w:pPr>
              <w:keepNext/>
              <w:jc w:val="both"/>
              <w:rPr>
                <w:i/>
              </w:rPr>
            </w:pPr>
            <w:r>
              <w:rPr>
                <w:i/>
              </w:rPr>
              <w:t>14.4</w:t>
            </w:r>
          </w:p>
        </w:tc>
        <w:tc>
          <w:tcPr>
            <w:tcW w:w="6785" w:type="dxa"/>
            <w:tcBorders>
              <w:bottom w:val="single" w:sz="4" w:space="0" w:color="auto"/>
            </w:tcBorders>
          </w:tcPr>
          <w:p w:rsidR="00C9213C" w:rsidRPr="00E35376" w:rsidRDefault="00C9213C" w:rsidP="00F0418F">
            <w:pPr>
              <w:keepNext/>
              <w:jc w:val="both"/>
              <w:rPr>
                <w:i/>
              </w:rPr>
            </w:pPr>
            <w:r w:rsidRPr="00E35376">
              <w:rPr>
                <w:i/>
              </w:rPr>
              <w:t>Legislation must contain express authority to impose conditions on an exemption.</w:t>
            </w:r>
          </w:p>
          <w:p w:rsidR="00C9213C" w:rsidRPr="00E35376" w:rsidRDefault="00C9213C" w:rsidP="00F0418F">
            <w:pPr>
              <w:keepNext/>
              <w:ind w:left="720"/>
              <w:jc w:val="both"/>
              <w:rPr>
                <w:i/>
              </w:rPr>
            </w:pPr>
          </w:p>
        </w:tc>
        <w:tc>
          <w:tcPr>
            <w:tcW w:w="1153" w:type="dxa"/>
            <w:tcBorders>
              <w:bottom w:val="single" w:sz="4" w:space="0" w:color="auto"/>
            </w:tcBorders>
          </w:tcPr>
          <w:p w:rsidR="00C9213C" w:rsidRDefault="00C9213C" w:rsidP="00E35376">
            <w:pPr>
              <w:keepNext/>
              <w:jc w:val="both"/>
            </w:pPr>
          </w:p>
        </w:tc>
        <w:tc>
          <w:tcPr>
            <w:tcW w:w="1134" w:type="dxa"/>
            <w:tcBorders>
              <w:bottom w:val="single" w:sz="4" w:space="0" w:color="auto"/>
            </w:tcBorders>
          </w:tcPr>
          <w:p w:rsidR="00C9213C" w:rsidRDefault="00C9213C" w:rsidP="00E35376">
            <w:pPr>
              <w:keepNext/>
              <w:jc w:val="both"/>
            </w:pPr>
          </w:p>
        </w:tc>
        <w:tc>
          <w:tcPr>
            <w:tcW w:w="3681" w:type="dxa"/>
            <w:tcBorders>
              <w:bottom w:val="single" w:sz="4" w:space="0" w:color="auto"/>
            </w:tcBorders>
          </w:tcPr>
          <w:p w:rsidR="00C9213C" w:rsidRDefault="00C9213C" w:rsidP="00E35376">
            <w:pPr>
              <w:keepNext/>
              <w:jc w:val="both"/>
            </w:pPr>
          </w:p>
        </w:tc>
      </w:tr>
      <w:tr w:rsidR="00C9213C" w:rsidTr="0010692D">
        <w:tc>
          <w:tcPr>
            <w:tcW w:w="13847" w:type="dxa"/>
            <w:gridSpan w:val="5"/>
            <w:shd w:val="clear" w:color="auto" w:fill="D9D9D9" w:themeFill="background1" w:themeFillShade="D9"/>
          </w:tcPr>
          <w:p w:rsidR="00C9213C" w:rsidRDefault="00C9213C" w:rsidP="00E35376">
            <w:pPr>
              <w:keepNext/>
              <w:jc w:val="both"/>
            </w:pPr>
          </w:p>
          <w:p w:rsidR="00C9213C" w:rsidRPr="00940C9E" w:rsidRDefault="00C9213C" w:rsidP="00F0418F">
            <w:pPr>
              <w:keepNext/>
              <w:jc w:val="center"/>
              <w:rPr>
                <w:b/>
              </w:rPr>
            </w:pPr>
            <w:r w:rsidRPr="00940C9E">
              <w:rPr>
                <w:b/>
              </w:rPr>
              <w:t>Chapter 15: Authorising the charging of fees and levies</w:t>
            </w:r>
          </w:p>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15.1</w:t>
            </w:r>
          </w:p>
        </w:tc>
        <w:tc>
          <w:tcPr>
            <w:tcW w:w="6785" w:type="dxa"/>
          </w:tcPr>
          <w:p w:rsidR="00C9213C" w:rsidRPr="00E35376" w:rsidRDefault="00C9213C" w:rsidP="00F0418F">
            <w:pPr>
              <w:keepNext/>
              <w:jc w:val="both"/>
              <w:rPr>
                <w:i/>
              </w:rPr>
            </w:pPr>
            <w:r w:rsidRPr="00E35376">
              <w:rPr>
                <w:i/>
              </w:rPr>
              <w:t xml:space="preserve">Fees should only be charged where the nature of the service or function is appropriate and the fee can be quantified and efficiently recovered. </w:t>
            </w:r>
          </w:p>
          <w:p w:rsidR="00C9213C" w:rsidRPr="00E35376" w:rsidRDefault="00C9213C" w:rsidP="00F0418F">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15.2</w:t>
            </w:r>
          </w:p>
        </w:tc>
        <w:tc>
          <w:tcPr>
            <w:tcW w:w="6785" w:type="dxa"/>
          </w:tcPr>
          <w:p w:rsidR="00C9213C" w:rsidRPr="00E35376" w:rsidRDefault="00C9213C" w:rsidP="00F0418F">
            <w:pPr>
              <w:keepNext/>
              <w:jc w:val="both"/>
              <w:rPr>
                <w:i/>
              </w:rPr>
            </w:pPr>
            <w:r w:rsidRPr="00E35376">
              <w:rPr>
                <w:i/>
              </w:rPr>
              <w:t>Levies should only be imposed where it is appropriate for a certain group to contribute money for a particular purpose.</w:t>
            </w:r>
          </w:p>
          <w:p w:rsidR="00C9213C" w:rsidRPr="00E35376" w:rsidRDefault="00C9213C" w:rsidP="00F0418F">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15.3</w:t>
            </w:r>
          </w:p>
        </w:tc>
        <w:tc>
          <w:tcPr>
            <w:tcW w:w="6785" w:type="dxa"/>
          </w:tcPr>
          <w:p w:rsidR="00C9213C" w:rsidRPr="00E35376" w:rsidRDefault="00C9213C" w:rsidP="00F0418F">
            <w:pPr>
              <w:keepNext/>
              <w:jc w:val="both"/>
              <w:rPr>
                <w:i/>
              </w:rPr>
            </w:pPr>
            <w:r w:rsidRPr="00E35376">
              <w:rPr>
                <w:i/>
              </w:rPr>
              <w:t xml:space="preserve">Legislation must include an empowering provision that specifically authorises the executive to prescribe a fee or a levy. </w:t>
            </w:r>
          </w:p>
          <w:p w:rsidR="00C9213C" w:rsidRPr="00E35376" w:rsidRDefault="00C9213C" w:rsidP="00F0418F">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15.4</w:t>
            </w:r>
          </w:p>
        </w:tc>
        <w:tc>
          <w:tcPr>
            <w:tcW w:w="6785" w:type="dxa"/>
          </w:tcPr>
          <w:p w:rsidR="00C9213C" w:rsidRPr="00E35376" w:rsidRDefault="00C9213C" w:rsidP="00F0418F">
            <w:pPr>
              <w:keepNext/>
              <w:jc w:val="both"/>
              <w:rPr>
                <w:i/>
              </w:rPr>
            </w:pPr>
            <w:r w:rsidRPr="00E35376">
              <w:rPr>
                <w:i/>
              </w:rPr>
              <w:t>Legislation must set out the manner by which to determine the fee.</w:t>
            </w:r>
          </w:p>
          <w:p w:rsidR="00C9213C" w:rsidRPr="00E35376" w:rsidRDefault="00C9213C" w:rsidP="00F0418F">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15.5</w:t>
            </w:r>
          </w:p>
        </w:tc>
        <w:tc>
          <w:tcPr>
            <w:tcW w:w="6785" w:type="dxa"/>
          </w:tcPr>
          <w:p w:rsidR="00C9213C" w:rsidRPr="00E35376" w:rsidRDefault="00C9213C" w:rsidP="00F0418F">
            <w:pPr>
              <w:keepNext/>
              <w:jc w:val="both"/>
              <w:rPr>
                <w:i/>
              </w:rPr>
            </w:pPr>
            <w:r w:rsidRPr="00E35376">
              <w:rPr>
                <w:i/>
              </w:rPr>
              <w:t>Legislation must set out the manner by which to determine the levy.</w:t>
            </w:r>
          </w:p>
          <w:p w:rsidR="00C9213C" w:rsidRPr="00E35376" w:rsidRDefault="00C9213C" w:rsidP="00F0418F">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15.6</w:t>
            </w:r>
          </w:p>
        </w:tc>
        <w:tc>
          <w:tcPr>
            <w:tcW w:w="6785" w:type="dxa"/>
          </w:tcPr>
          <w:p w:rsidR="00C9213C" w:rsidRPr="00E35376" w:rsidRDefault="00C9213C" w:rsidP="00F0418F">
            <w:pPr>
              <w:keepNext/>
              <w:jc w:val="both"/>
              <w:rPr>
                <w:i/>
              </w:rPr>
            </w:pPr>
            <w:r w:rsidRPr="00E35376">
              <w:rPr>
                <w:i/>
              </w:rPr>
              <w:t xml:space="preserve">Legislation must clearly identify who may be charged the fee or levy and in what circumstances it may be waived or refunded. </w:t>
            </w:r>
          </w:p>
          <w:p w:rsidR="00C9213C" w:rsidRPr="00E35376" w:rsidRDefault="00C9213C" w:rsidP="00F0418F">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15.7</w:t>
            </w:r>
          </w:p>
        </w:tc>
        <w:tc>
          <w:tcPr>
            <w:tcW w:w="6785" w:type="dxa"/>
          </w:tcPr>
          <w:p w:rsidR="00C9213C" w:rsidRPr="00E35376" w:rsidRDefault="00C9213C" w:rsidP="00F0418F">
            <w:pPr>
              <w:keepNext/>
              <w:jc w:val="both"/>
              <w:rPr>
                <w:i/>
              </w:rPr>
            </w:pPr>
            <w:r w:rsidRPr="00E35376">
              <w:rPr>
                <w:i/>
              </w:rPr>
              <w:t xml:space="preserve">Legislation should identify any procedural requirements that must be carried out in connection with the fee or levy. </w:t>
            </w:r>
          </w:p>
          <w:p w:rsidR="00C9213C" w:rsidRPr="00E35376" w:rsidRDefault="00C9213C" w:rsidP="00F0418F">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345C18">
        <w:tc>
          <w:tcPr>
            <w:tcW w:w="13847" w:type="dxa"/>
            <w:gridSpan w:val="5"/>
            <w:shd w:val="clear" w:color="auto" w:fill="D9D9D9" w:themeFill="background1" w:themeFillShade="D9"/>
          </w:tcPr>
          <w:p w:rsidR="00C9213C" w:rsidRDefault="00C9213C" w:rsidP="00E35376">
            <w:pPr>
              <w:keepNext/>
              <w:jc w:val="both"/>
            </w:pPr>
            <w:r>
              <w:br w:type="page"/>
            </w:r>
          </w:p>
          <w:p w:rsidR="00C9213C" w:rsidRPr="00940C9E" w:rsidRDefault="00C9213C" w:rsidP="00F0418F">
            <w:pPr>
              <w:keepNext/>
              <w:jc w:val="center"/>
              <w:rPr>
                <w:b/>
              </w:rPr>
            </w:pPr>
            <w:r w:rsidRPr="00940C9E">
              <w:rPr>
                <w:b/>
              </w:rPr>
              <w:t>Chapter 16: Creating a new statutory power</w:t>
            </w:r>
          </w:p>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16.1</w:t>
            </w:r>
          </w:p>
        </w:tc>
        <w:tc>
          <w:tcPr>
            <w:tcW w:w="6785" w:type="dxa"/>
          </w:tcPr>
          <w:p w:rsidR="00C9213C" w:rsidRPr="00E35376" w:rsidRDefault="00C9213C" w:rsidP="003D2D05">
            <w:pPr>
              <w:keepNext/>
              <w:jc w:val="both"/>
              <w:rPr>
                <w:i/>
              </w:rPr>
            </w:pPr>
            <w:r w:rsidRPr="00E35376">
              <w:rPr>
                <w:i/>
              </w:rPr>
              <w:t>A new statutory power should only be created if no suitable existing power or alternative exists that can achieve the policy objective.</w:t>
            </w:r>
          </w:p>
          <w:p w:rsidR="00C9213C" w:rsidRPr="00E35376" w:rsidRDefault="00C9213C" w:rsidP="00F0418F">
            <w:pPr>
              <w:keepNext/>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16.2</w:t>
            </w:r>
          </w:p>
        </w:tc>
        <w:tc>
          <w:tcPr>
            <w:tcW w:w="6785" w:type="dxa"/>
          </w:tcPr>
          <w:p w:rsidR="00C9213C" w:rsidRPr="00E35376" w:rsidRDefault="00C9213C" w:rsidP="003D2D05">
            <w:pPr>
              <w:keepNext/>
              <w:jc w:val="both"/>
              <w:rPr>
                <w:i/>
              </w:rPr>
            </w:pPr>
            <w:r w:rsidRPr="00E35376">
              <w:rPr>
                <w:i/>
              </w:rPr>
              <w:t>Legislation should identify who holds the new power. The power should be held by the person or body that holds the appropriate level of authority, expertise and accountability.</w:t>
            </w:r>
          </w:p>
          <w:p w:rsidR="00C9213C" w:rsidRPr="00E35376" w:rsidRDefault="00C9213C" w:rsidP="00F0418F">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16.3</w:t>
            </w:r>
          </w:p>
        </w:tc>
        <w:tc>
          <w:tcPr>
            <w:tcW w:w="6785" w:type="dxa"/>
          </w:tcPr>
          <w:p w:rsidR="00C9213C" w:rsidRPr="00E35376" w:rsidRDefault="00C9213C" w:rsidP="003D2D05">
            <w:pPr>
              <w:keepNext/>
              <w:jc w:val="both"/>
              <w:rPr>
                <w:i/>
              </w:rPr>
            </w:pPr>
            <w:r w:rsidRPr="00E35376">
              <w:rPr>
                <w:i/>
              </w:rPr>
              <w:t>Legislation should state the extent to which a new power can be delegated.</w:t>
            </w:r>
          </w:p>
          <w:p w:rsidR="00C9213C" w:rsidRPr="00E35376" w:rsidRDefault="00C9213C" w:rsidP="00F0418F">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16.4</w:t>
            </w:r>
          </w:p>
        </w:tc>
        <w:tc>
          <w:tcPr>
            <w:tcW w:w="6785" w:type="dxa"/>
          </w:tcPr>
          <w:p w:rsidR="00C9213C" w:rsidRPr="00E35376" w:rsidRDefault="00C9213C" w:rsidP="003D2D05">
            <w:pPr>
              <w:keepNext/>
              <w:jc w:val="both"/>
              <w:rPr>
                <w:i/>
              </w:rPr>
            </w:pPr>
            <w:r w:rsidRPr="00E35376">
              <w:rPr>
                <w:i/>
              </w:rPr>
              <w:t xml:space="preserve">Legislation should not create a power that is wider than is necessary to achieve the policy objective. </w:t>
            </w:r>
          </w:p>
          <w:p w:rsidR="00C9213C" w:rsidRPr="00E35376" w:rsidRDefault="00C9213C" w:rsidP="00F0418F">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16.5</w:t>
            </w:r>
          </w:p>
        </w:tc>
        <w:tc>
          <w:tcPr>
            <w:tcW w:w="6785" w:type="dxa"/>
          </w:tcPr>
          <w:p w:rsidR="00C9213C" w:rsidRPr="00E35376" w:rsidRDefault="00C9213C" w:rsidP="003D2D05">
            <w:pPr>
              <w:keepNext/>
              <w:jc w:val="both"/>
              <w:rPr>
                <w:i/>
              </w:rPr>
            </w:pPr>
            <w:r w:rsidRPr="00E35376">
              <w:rPr>
                <w:i/>
              </w:rPr>
              <w:t>Legislation should identify what the power is, for what purposes, and in which circumstances it may be exercised.</w:t>
            </w:r>
          </w:p>
          <w:p w:rsidR="00C9213C" w:rsidRPr="00E35376" w:rsidRDefault="00C9213C" w:rsidP="00F0418F">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16.6</w:t>
            </w:r>
          </w:p>
        </w:tc>
        <w:tc>
          <w:tcPr>
            <w:tcW w:w="6785" w:type="dxa"/>
          </w:tcPr>
          <w:p w:rsidR="00C9213C" w:rsidRPr="00E35376" w:rsidRDefault="00C9213C" w:rsidP="003D2D05">
            <w:pPr>
              <w:keepNext/>
              <w:jc w:val="both"/>
              <w:rPr>
                <w:i/>
              </w:rPr>
            </w:pPr>
            <w:r w:rsidRPr="00E35376">
              <w:rPr>
                <w:i/>
              </w:rPr>
              <w:t>Legislation should include safeguards that will provide adequate protection for the rights of individuals affected by the decision.</w:t>
            </w:r>
          </w:p>
          <w:p w:rsidR="00C9213C" w:rsidRPr="00E35376" w:rsidRDefault="00C9213C" w:rsidP="00F0418F">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Borders>
              <w:bottom w:val="single" w:sz="4" w:space="0" w:color="auto"/>
            </w:tcBorders>
          </w:tcPr>
          <w:p w:rsidR="00C9213C" w:rsidRDefault="00C9213C" w:rsidP="00E35376">
            <w:pPr>
              <w:keepNext/>
              <w:jc w:val="both"/>
              <w:rPr>
                <w:i/>
              </w:rPr>
            </w:pPr>
            <w:r>
              <w:rPr>
                <w:i/>
              </w:rPr>
              <w:t>16.7</w:t>
            </w:r>
          </w:p>
        </w:tc>
        <w:tc>
          <w:tcPr>
            <w:tcW w:w="6785" w:type="dxa"/>
            <w:tcBorders>
              <w:bottom w:val="single" w:sz="4" w:space="0" w:color="auto"/>
            </w:tcBorders>
          </w:tcPr>
          <w:p w:rsidR="00C9213C" w:rsidRPr="00E35376" w:rsidRDefault="00C9213C" w:rsidP="003D2D05">
            <w:pPr>
              <w:keepNext/>
              <w:jc w:val="both"/>
              <w:rPr>
                <w:i/>
              </w:rPr>
            </w:pPr>
            <w:r w:rsidRPr="00E35376">
              <w:rPr>
                <w:i/>
              </w:rPr>
              <w:t>New powers that are given to a specialist tribunal must be consistent with the particular field of expertise of that tribunal, must be appropriate in light of the procedure adopted by the tribunal, and must not impair the tribunal’s independence and impartiality.</w:t>
            </w:r>
          </w:p>
          <w:p w:rsidR="00C9213C" w:rsidRPr="00E35376" w:rsidRDefault="00C9213C" w:rsidP="00F0418F">
            <w:pPr>
              <w:keepNext/>
              <w:ind w:left="720"/>
              <w:jc w:val="both"/>
              <w:rPr>
                <w:i/>
              </w:rPr>
            </w:pPr>
          </w:p>
        </w:tc>
        <w:tc>
          <w:tcPr>
            <w:tcW w:w="1153" w:type="dxa"/>
            <w:tcBorders>
              <w:bottom w:val="single" w:sz="4" w:space="0" w:color="auto"/>
            </w:tcBorders>
          </w:tcPr>
          <w:p w:rsidR="00C9213C" w:rsidRDefault="00C9213C" w:rsidP="00E35376">
            <w:pPr>
              <w:keepNext/>
              <w:jc w:val="both"/>
            </w:pPr>
          </w:p>
        </w:tc>
        <w:tc>
          <w:tcPr>
            <w:tcW w:w="1134" w:type="dxa"/>
            <w:tcBorders>
              <w:bottom w:val="single" w:sz="4" w:space="0" w:color="auto"/>
            </w:tcBorders>
          </w:tcPr>
          <w:p w:rsidR="00C9213C" w:rsidRDefault="00C9213C" w:rsidP="00E35376">
            <w:pPr>
              <w:keepNext/>
              <w:jc w:val="both"/>
            </w:pPr>
          </w:p>
        </w:tc>
        <w:tc>
          <w:tcPr>
            <w:tcW w:w="3681" w:type="dxa"/>
            <w:tcBorders>
              <w:bottom w:val="single" w:sz="4" w:space="0" w:color="auto"/>
            </w:tcBorders>
          </w:tcPr>
          <w:p w:rsidR="00C9213C" w:rsidRDefault="00C9213C" w:rsidP="00E35376">
            <w:pPr>
              <w:keepNext/>
              <w:jc w:val="both"/>
            </w:pPr>
          </w:p>
        </w:tc>
      </w:tr>
      <w:tr w:rsidR="00C9213C" w:rsidTr="00D306F6">
        <w:tc>
          <w:tcPr>
            <w:tcW w:w="13847" w:type="dxa"/>
            <w:gridSpan w:val="5"/>
            <w:shd w:val="clear" w:color="auto" w:fill="D9D9D9" w:themeFill="background1" w:themeFillShade="D9"/>
          </w:tcPr>
          <w:p w:rsidR="00C9213C" w:rsidRDefault="00C9213C" w:rsidP="00E35376">
            <w:pPr>
              <w:keepNext/>
              <w:jc w:val="both"/>
            </w:pPr>
          </w:p>
          <w:p w:rsidR="00C9213C" w:rsidRPr="00940C9E" w:rsidRDefault="00C9213C" w:rsidP="003D2D05">
            <w:pPr>
              <w:keepNext/>
              <w:jc w:val="center"/>
              <w:rPr>
                <w:b/>
              </w:rPr>
            </w:pPr>
            <w:r w:rsidRPr="00940C9E">
              <w:rPr>
                <w:b/>
              </w:rPr>
              <w:t>Chapter 17: Creating a new public body</w:t>
            </w:r>
          </w:p>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17.1</w:t>
            </w:r>
          </w:p>
        </w:tc>
        <w:tc>
          <w:tcPr>
            <w:tcW w:w="6785" w:type="dxa"/>
          </w:tcPr>
          <w:p w:rsidR="00C9213C" w:rsidRPr="00E35376" w:rsidRDefault="00C9213C" w:rsidP="003D2D05">
            <w:pPr>
              <w:keepNext/>
              <w:jc w:val="both"/>
              <w:rPr>
                <w:i/>
              </w:rPr>
            </w:pPr>
            <w:r w:rsidRPr="00E35376">
              <w:rPr>
                <w:i/>
              </w:rPr>
              <w:t>A new public body should only be created if no existing body possesses the appropriate governance arrangements or is capable of properly performing the necessary functions.</w:t>
            </w:r>
          </w:p>
          <w:p w:rsidR="00C9213C" w:rsidRPr="00E35376" w:rsidRDefault="00C9213C" w:rsidP="003D2D05">
            <w:pPr>
              <w:keepNext/>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17.2</w:t>
            </w:r>
          </w:p>
        </w:tc>
        <w:tc>
          <w:tcPr>
            <w:tcW w:w="6785" w:type="dxa"/>
          </w:tcPr>
          <w:p w:rsidR="00C9213C" w:rsidRPr="00E35376" w:rsidRDefault="00C9213C" w:rsidP="003D2D05">
            <w:pPr>
              <w:keepNext/>
              <w:jc w:val="both"/>
              <w:rPr>
                <w:i/>
              </w:rPr>
            </w:pPr>
            <w:r w:rsidRPr="00E35376">
              <w:rPr>
                <w:i/>
              </w:rPr>
              <w:t>Legislation should only be used to create a new public body when it is required by law or is necessary to ensure that the body possesses the necessary powers, authority, and appropriate governance arrangements.</w:t>
            </w:r>
          </w:p>
          <w:p w:rsidR="00C9213C" w:rsidRPr="00E35376" w:rsidRDefault="00C9213C" w:rsidP="003D2D05">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17.3</w:t>
            </w:r>
          </w:p>
        </w:tc>
        <w:tc>
          <w:tcPr>
            <w:tcW w:w="6785" w:type="dxa"/>
          </w:tcPr>
          <w:p w:rsidR="00C9213C" w:rsidRPr="00E35376" w:rsidRDefault="00C9213C" w:rsidP="003D2D05">
            <w:pPr>
              <w:keepNext/>
              <w:jc w:val="both"/>
              <w:rPr>
                <w:i/>
              </w:rPr>
            </w:pPr>
            <w:r w:rsidRPr="00E35376">
              <w:rPr>
                <w:i/>
              </w:rPr>
              <w:t>A new body should be in the form that provides appropriate accountability arrangements and is best suited to performing the relevant functions.</w:t>
            </w:r>
          </w:p>
          <w:p w:rsidR="00C9213C" w:rsidRPr="00E35376" w:rsidRDefault="00C9213C" w:rsidP="003D2D05">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17.4</w:t>
            </w:r>
          </w:p>
        </w:tc>
        <w:tc>
          <w:tcPr>
            <w:tcW w:w="6785" w:type="dxa"/>
          </w:tcPr>
          <w:p w:rsidR="00C9213C" w:rsidRPr="00E35376" w:rsidRDefault="00C9213C" w:rsidP="003D2D05">
            <w:pPr>
              <w:keepNext/>
              <w:jc w:val="both"/>
              <w:rPr>
                <w:i/>
              </w:rPr>
            </w:pPr>
            <w:r w:rsidRPr="00E35376">
              <w:rPr>
                <w:i/>
              </w:rPr>
              <w:t>Legislation should only create a new tribunal where it is inappropriate to give new powers to an existing tribunal and no other court, tribunal, or other specialist body is better placed to exercise the power.</w:t>
            </w:r>
          </w:p>
          <w:p w:rsidR="00C9213C" w:rsidRPr="00E35376" w:rsidRDefault="00C9213C" w:rsidP="003D2D05">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Borders>
              <w:bottom w:val="single" w:sz="4" w:space="0" w:color="auto"/>
            </w:tcBorders>
          </w:tcPr>
          <w:p w:rsidR="00C9213C" w:rsidRDefault="00C9213C" w:rsidP="00E35376">
            <w:pPr>
              <w:keepNext/>
              <w:jc w:val="both"/>
              <w:rPr>
                <w:i/>
              </w:rPr>
            </w:pPr>
            <w:r>
              <w:rPr>
                <w:i/>
              </w:rPr>
              <w:t>17.5</w:t>
            </w:r>
          </w:p>
        </w:tc>
        <w:tc>
          <w:tcPr>
            <w:tcW w:w="6785" w:type="dxa"/>
            <w:tcBorders>
              <w:bottom w:val="single" w:sz="4" w:space="0" w:color="auto"/>
            </w:tcBorders>
          </w:tcPr>
          <w:p w:rsidR="00C9213C" w:rsidRPr="00E35376" w:rsidRDefault="00C9213C" w:rsidP="003D2D05">
            <w:pPr>
              <w:keepNext/>
              <w:jc w:val="both"/>
              <w:rPr>
                <w:i/>
              </w:rPr>
            </w:pPr>
            <w:r w:rsidRPr="00E35376">
              <w:rPr>
                <w:i/>
              </w:rPr>
              <w:t>All public bodies should be subject to the Ombudsmen Act 1975, the Public Audit Act 2001, the Public Records Act 2005, the Official Information Act 1982 (or the Local Government Official Information and Meetings Act 1987).</w:t>
            </w:r>
          </w:p>
          <w:p w:rsidR="00C9213C" w:rsidRPr="00E35376" w:rsidRDefault="00C9213C" w:rsidP="003D2D05">
            <w:pPr>
              <w:keepNext/>
              <w:ind w:left="720"/>
              <w:jc w:val="both"/>
              <w:rPr>
                <w:i/>
              </w:rPr>
            </w:pPr>
          </w:p>
        </w:tc>
        <w:tc>
          <w:tcPr>
            <w:tcW w:w="1153" w:type="dxa"/>
            <w:tcBorders>
              <w:bottom w:val="single" w:sz="4" w:space="0" w:color="auto"/>
            </w:tcBorders>
          </w:tcPr>
          <w:p w:rsidR="00C9213C" w:rsidRDefault="00C9213C" w:rsidP="00E35376">
            <w:pPr>
              <w:keepNext/>
              <w:jc w:val="both"/>
            </w:pPr>
          </w:p>
        </w:tc>
        <w:tc>
          <w:tcPr>
            <w:tcW w:w="1134" w:type="dxa"/>
            <w:tcBorders>
              <w:bottom w:val="single" w:sz="4" w:space="0" w:color="auto"/>
            </w:tcBorders>
          </w:tcPr>
          <w:p w:rsidR="00C9213C" w:rsidRDefault="00C9213C" w:rsidP="00E35376">
            <w:pPr>
              <w:keepNext/>
              <w:jc w:val="both"/>
            </w:pPr>
          </w:p>
        </w:tc>
        <w:tc>
          <w:tcPr>
            <w:tcW w:w="3681" w:type="dxa"/>
            <w:tcBorders>
              <w:bottom w:val="single" w:sz="4" w:space="0" w:color="auto"/>
            </w:tcBorders>
          </w:tcPr>
          <w:p w:rsidR="00C9213C" w:rsidRDefault="00C9213C" w:rsidP="00E35376">
            <w:pPr>
              <w:keepNext/>
              <w:jc w:val="both"/>
            </w:pPr>
          </w:p>
        </w:tc>
      </w:tr>
      <w:tr w:rsidR="00C9213C" w:rsidTr="00FF402F">
        <w:tc>
          <w:tcPr>
            <w:tcW w:w="13847" w:type="dxa"/>
            <w:gridSpan w:val="5"/>
            <w:shd w:val="clear" w:color="auto" w:fill="D9D9D9" w:themeFill="background1" w:themeFillShade="D9"/>
          </w:tcPr>
          <w:p w:rsidR="00C9213C" w:rsidRDefault="00C9213C" w:rsidP="00E35376">
            <w:pPr>
              <w:keepNext/>
              <w:jc w:val="both"/>
            </w:pPr>
          </w:p>
          <w:p w:rsidR="00C9213C" w:rsidRPr="00940C9E" w:rsidRDefault="00C9213C" w:rsidP="003D2D05">
            <w:pPr>
              <w:keepNext/>
              <w:jc w:val="center"/>
              <w:rPr>
                <w:b/>
              </w:rPr>
            </w:pPr>
            <w:r w:rsidRPr="00940C9E">
              <w:rPr>
                <w:b/>
              </w:rPr>
              <w:t>Chapter 18: Creating powers of search, surveillance and seizure</w:t>
            </w:r>
          </w:p>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18.1</w:t>
            </w:r>
          </w:p>
        </w:tc>
        <w:tc>
          <w:tcPr>
            <w:tcW w:w="6785" w:type="dxa"/>
          </w:tcPr>
          <w:p w:rsidR="00C9213C" w:rsidRPr="00E35376" w:rsidRDefault="00C9213C" w:rsidP="003D2D05">
            <w:pPr>
              <w:keepNext/>
              <w:jc w:val="both"/>
              <w:rPr>
                <w:i/>
              </w:rPr>
            </w:pPr>
            <w:r w:rsidRPr="00E35376">
              <w:rPr>
                <w:i/>
              </w:rPr>
              <w:t>New search powers should only be granted when the policy objective cannot be achieved by other means.</w:t>
            </w:r>
          </w:p>
          <w:p w:rsidR="00C9213C" w:rsidRPr="00E35376" w:rsidRDefault="00C9213C" w:rsidP="003D2D05">
            <w:pPr>
              <w:keepNext/>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18.2</w:t>
            </w:r>
          </w:p>
        </w:tc>
        <w:tc>
          <w:tcPr>
            <w:tcW w:w="6785" w:type="dxa"/>
          </w:tcPr>
          <w:p w:rsidR="00C9213C" w:rsidRPr="00E35376" w:rsidRDefault="00C9213C" w:rsidP="003D2D05">
            <w:pPr>
              <w:keepNext/>
              <w:jc w:val="both"/>
              <w:rPr>
                <w:i/>
              </w:rPr>
            </w:pPr>
            <w:r w:rsidRPr="00E35376">
              <w:rPr>
                <w:i/>
              </w:rPr>
              <w:t>All searches should be carried out pursuant to a warrant unless there are good reasons not to.</w:t>
            </w:r>
          </w:p>
          <w:p w:rsidR="00C9213C" w:rsidRPr="00E35376" w:rsidRDefault="00C9213C" w:rsidP="003D2D05">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18.3</w:t>
            </w:r>
          </w:p>
        </w:tc>
        <w:tc>
          <w:tcPr>
            <w:tcW w:w="6785" w:type="dxa"/>
          </w:tcPr>
          <w:p w:rsidR="00C9213C" w:rsidRPr="00E35376" w:rsidRDefault="00C9213C" w:rsidP="003D2D05">
            <w:pPr>
              <w:keepNext/>
              <w:jc w:val="both"/>
              <w:rPr>
                <w:i/>
              </w:rPr>
            </w:pPr>
            <w:r w:rsidRPr="00E35376">
              <w:rPr>
                <w:i/>
              </w:rPr>
              <w:t xml:space="preserve">New search powers should only be exercisable when there are “reasonable grounds to suspect” the relevant factual situation has occurred, and “reasonable grounds to believe” that evidence will be found, or a particular thing may be achieved during the course of that search. </w:t>
            </w:r>
          </w:p>
          <w:p w:rsidR="00C9213C" w:rsidRPr="00E35376" w:rsidRDefault="00C9213C" w:rsidP="003D2D05">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Borders>
              <w:bottom w:val="single" w:sz="4" w:space="0" w:color="auto"/>
            </w:tcBorders>
          </w:tcPr>
          <w:p w:rsidR="00C9213C" w:rsidRDefault="00C9213C" w:rsidP="00E35376">
            <w:pPr>
              <w:keepNext/>
              <w:jc w:val="both"/>
              <w:rPr>
                <w:i/>
              </w:rPr>
            </w:pPr>
            <w:r>
              <w:rPr>
                <w:i/>
              </w:rPr>
              <w:t>18.4</w:t>
            </w:r>
          </w:p>
        </w:tc>
        <w:tc>
          <w:tcPr>
            <w:tcW w:w="6785" w:type="dxa"/>
            <w:tcBorders>
              <w:bottom w:val="single" w:sz="4" w:space="0" w:color="auto"/>
            </w:tcBorders>
          </w:tcPr>
          <w:p w:rsidR="00C9213C" w:rsidRPr="00E35376" w:rsidRDefault="00C9213C" w:rsidP="003D2D05">
            <w:pPr>
              <w:keepNext/>
              <w:jc w:val="both"/>
              <w:rPr>
                <w:i/>
              </w:rPr>
            </w:pPr>
            <w:r w:rsidRPr="00E35376">
              <w:rPr>
                <w:i/>
              </w:rPr>
              <w:t>New search powers should apply the rules and procedures set out in Part 4 of the Search and Surveillance Act 2012.</w:t>
            </w:r>
          </w:p>
          <w:p w:rsidR="00C9213C" w:rsidRPr="00E35376" w:rsidRDefault="00C9213C" w:rsidP="003D2D05">
            <w:pPr>
              <w:keepNext/>
              <w:ind w:left="720"/>
              <w:jc w:val="both"/>
              <w:rPr>
                <w:i/>
              </w:rPr>
            </w:pPr>
          </w:p>
        </w:tc>
        <w:tc>
          <w:tcPr>
            <w:tcW w:w="1153" w:type="dxa"/>
            <w:tcBorders>
              <w:bottom w:val="single" w:sz="4" w:space="0" w:color="auto"/>
            </w:tcBorders>
          </w:tcPr>
          <w:p w:rsidR="00C9213C" w:rsidRDefault="00C9213C" w:rsidP="00E35376">
            <w:pPr>
              <w:keepNext/>
              <w:jc w:val="both"/>
            </w:pPr>
          </w:p>
        </w:tc>
        <w:tc>
          <w:tcPr>
            <w:tcW w:w="1134" w:type="dxa"/>
            <w:tcBorders>
              <w:bottom w:val="single" w:sz="4" w:space="0" w:color="auto"/>
            </w:tcBorders>
          </w:tcPr>
          <w:p w:rsidR="00C9213C" w:rsidRDefault="00C9213C" w:rsidP="00E35376">
            <w:pPr>
              <w:keepNext/>
              <w:jc w:val="both"/>
            </w:pPr>
          </w:p>
        </w:tc>
        <w:tc>
          <w:tcPr>
            <w:tcW w:w="3681" w:type="dxa"/>
            <w:tcBorders>
              <w:bottom w:val="single" w:sz="4" w:space="0" w:color="auto"/>
            </w:tcBorders>
          </w:tcPr>
          <w:p w:rsidR="00C9213C" w:rsidRDefault="00C9213C" w:rsidP="00E35376">
            <w:pPr>
              <w:keepNext/>
              <w:jc w:val="both"/>
            </w:pPr>
          </w:p>
        </w:tc>
      </w:tr>
      <w:tr w:rsidR="00C9213C" w:rsidTr="00716A32">
        <w:tc>
          <w:tcPr>
            <w:tcW w:w="13847" w:type="dxa"/>
            <w:gridSpan w:val="5"/>
            <w:shd w:val="clear" w:color="auto" w:fill="D9D9D9" w:themeFill="background1" w:themeFillShade="D9"/>
          </w:tcPr>
          <w:p w:rsidR="00C9213C" w:rsidRDefault="00C9213C" w:rsidP="003D2D05">
            <w:pPr>
              <w:keepNext/>
              <w:jc w:val="center"/>
              <w:rPr>
                <w:i/>
              </w:rPr>
            </w:pPr>
          </w:p>
          <w:p w:rsidR="00C9213C" w:rsidRPr="00940C9E" w:rsidRDefault="00C9213C" w:rsidP="003D2D05">
            <w:pPr>
              <w:keepNext/>
              <w:jc w:val="center"/>
              <w:rPr>
                <w:b/>
                <w:i/>
              </w:rPr>
            </w:pPr>
            <w:r w:rsidRPr="00940C9E">
              <w:rPr>
                <w:b/>
                <w:i/>
              </w:rPr>
              <w:t>Chapter 19: Ways to achieve compliance and enforce legislation</w:t>
            </w:r>
          </w:p>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19.1</w:t>
            </w:r>
          </w:p>
        </w:tc>
        <w:tc>
          <w:tcPr>
            <w:tcW w:w="6785" w:type="dxa"/>
          </w:tcPr>
          <w:p w:rsidR="00C9213C" w:rsidRPr="00E35376" w:rsidRDefault="00C9213C" w:rsidP="003D2D05">
            <w:pPr>
              <w:keepNext/>
              <w:jc w:val="both"/>
              <w:rPr>
                <w:i/>
              </w:rPr>
            </w:pPr>
            <w:r w:rsidRPr="00E35376">
              <w:rPr>
                <w:i/>
              </w:rPr>
              <w:t>The Government should not generally become involved in enforcing rules or otherwise regulating in an area where the rules can be reliably enforced by those who are subject to them.</w:t>
            </w:r>
          </w:p>
          <w:p w:rsidR="00C9213C" w:rsidRPr="00E35376" w:rsidRDefault="00C9213C" w:rsidP="003D2D05">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19.2</w:t>
            </w:r>
          </w:p>
        </w:tc>
        <w:tc>
          <w:tcPr>
            <w:tcW w:w="6785" w:type="dxa"/>
          </w:tcPr>
          <w:p w:rsidR="00C9213C" w:rsidRPr="00E35376" w:rsidRDefault="00C9213C" w:rsidP="003D2D05">
            <w:pPr>
              <w:keepNext/>
              <w:jc w:val="both"/>
              <w:rPr>
                <w:i/>
              </w:rPr>
            </w:pPr>
            <w:r w:rsidRPr="00E35376">
              <w:rPr>
                <w:i/>
              </w:rPr>
              <w:t>Regulatory options should be effective and efficient, workable in the circumstances that they are required to operate in, and be appropriate in light of the nature of the conduct and potential harm they are intended to address.</w:t>
            </w:r>
          </w:p>
          <w:p w:rsidR="00C9213C" w:rsidRPr="00E35376" w:rsidRDefault="00C9213C" w:rsidP="003D2D05">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757400">
        <w:tc>
          <w:tcPr>
            <w:tcW w:w="13847" w:type="dxa"/>
            <w:gridSpan w:val="5"/>
            <w:shd w:val="clear" w:color="auto" w:fill="D9D9D9" w:themeFill="background1" w:themeFillShade="D9"/>
          </w:tcPr>
          <w:p w:rsidR="00C9213C" w:rsidRDefault="00C9213C" w:rsidP="00E35376">
            <w:pPr>
              <w:keepNext/>
              <w:jc w:val="both"/>
            </w:pPr>
            <w:r>
              <w:br w:type="page"/>
            </w:r>
          </w:p>
          <w:p w:rsidR="00C9213C" w:rsidRPr="00940C9E" w:rsidRDefault="00C9213C" w:rsidP="003D2D05">
            <w:pPr>
              <w:keepNext/>
              <w:jc w:val="center"/>
              <w:rPr>
                <w:b/>
              </w:rPr>
            </w:pPr>
            <w:r w:rsidRPr="00940C9E">
              <w:rPr>
                <w:b/>
              </w:rPr>
              <w:t>Chapter 20: Creating new, or relying on existing, civil remedies</w:t>
            </w:r>
          </w:p>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20.1</w:t>
            </w:r>
          </w:p>
        </w:tc>
        <w:tc>
          <w:tcPr>
            <w:tcW w:w="6785" w:type="dxa"/>
          </w:tcPr>
          <w:p w:rsidR="00C9213C" w:rsidRPr="00E35376" w:rsidRDefault="00C9213C" w:rsidP="003D2D05">
            <w:pPr>
              <w:keepNext/>
              <w:jc w:val="both"/>
              <w:rPr>
                <w:i/>
              </w:rPr>
            </w:pPr>
            <w:r w:rsidRPr="00E35376">
              <w:rPr>
                <w:i/>
              </w:rPr>
              <w:t>Existing civil remedies should be relied on where they are adequate and appropriate for the purposes of enforcement.</w:t>
            </w:r>
          </w:p>
          <w:p w:rsidR="00C9213C" w:rsidRPr="00E35376" w:rsidRDefault="00C9213C" w:rsidP="003D2D05">
            <w:pPr>
              <w:keepNext/>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Borders>
              <w:bottom w:val="single" w:sz="4" w:space="0" w:color="auto"/>
            </w:tcBorders>
          </w:tcPr>
          <w:p w:rsidR="00C9213C" w:rsidRDefault="00C9213C" w:rsidP="00E35376">
            <w:pPr>
              <w:keepNext/>
              <w:jc w:val="both"/>
              <w:rPr>
                <w:i/>
              </w:rPr>
            </w:pPr>
            <w:r>
              <w:rPr>
                <w:i/>
              </w:rPr>
              <w:t>20.2</w:t>
            </w:r>
          </w:p>
        </w:tc>
        <w:tc>
          <w:tcPr>
            <w:tcW w:w="6785" w:type="dxa"/>
            <w:tcBorders>
              <w:bottom w:val="single" w:sz="4" w:space="0" w:color="auto"/>
            </w:tcBorders>
          </w:tcPr>
          <w:p w:rsidR="00C9213C" w:rsidRPr="00E35376" w:rsidRDefault="00C9213C" w:rsidP="003D2D05">
            <w:pPr>
              <w:keepNext/>
              <w:jc w:val="both"/>
              <w:rPr>
                <w:i/>
              </w:rPr>
            </w:pPr>
            <w:r w:rsidRPr="00E35376">
              <w:rPr>
                <w:i/>
              </w:rPr>
              <w:t>New civil remedies should only be created where there is a clear need, where it is necessary to achieve the purpose of the legislation, and no existing civil remedy is appropriate.</w:t>
            </w:r>
          </w:p>
          <w:p w:rsidR="00C9213C" w:rsidRPr="00E35376" w:rsidRDefault="00C9213C" w:rsidP="003D2D05">
            <w:pPr>
              <w:keepNext/>
              <w:ind w:left="720"/>
              <w:jc w:val="both"/>
              <w:rPr>
                <w:i/>
              </w:rPr>
            </w:pPr>
          </w:p>
        </w:tc>
        <w:tc>
          <w:tcPr>
            <w:tcW w:w="1153" w:type="dxa"/>
            <w:tcBorders>
              <w:bottom w:val="single" w:sz="4" w:space="0" w:color="auto"/>
            </w:tcBorders>
          </w:tcPr>
          <w:p w:rsidR="00C9213C" w:rsidRDefault="00C9213C" w:rsidP="00E35376">
            <w:pPr>
              <w:keepNext/>
              <w:jc w:val="both"/>
            </w:pPr>
          </w:p>
        </w:tc>
        <w:tc>
          <w:tcPr>
            <w:tcW w:w="1134" w:type="dxa"/>
            <w:tcBorders>
              <w:bottom w:val="single" w:sz="4" w:space="0" w:color="auto"/>
            </w:tcBorders>
          </w:tcPr>
          <w:p w:rsidR="00C9213C" w:rsidRDefault="00C9213C" w:rsidP="00E35376">
            <w:pPr>
              <w:keepNext/>
              <w:jc w:val="both"/>
            </w:pPr>
          </w:p>
        </w:tc>
        <w:tc>
          <w:tcPr>
            <w:tcW w:w="3681" w:type="dxa"/>
            <w:tcBorders>
              <w:bottom w:val="single" w:sz="4" w:space="0" w:color="auto"/>
            </w:tcBorders>
          </w:tcPr>
          <w:p w:rsidR="00C9213C" w:rsidRDefault="00C9213C" w:rsidP="00E35376">
            <w:pPr>
              <w:keepNext/>
              <w:jc w:val="both"/>
            </w:pPr>
          </w:p>
        </w:tc>
      </w:tr>
      <w:tr w:rsidR="00C9213C" w:rsidTr="00D07242">
        <w:tc>
          <w:tcPr>
            <w:tcW w:w="13847" w:type="dxa"/>
            <w:gridSpan w:val="5"/>
            <w:shd w:val="clear" w:color="auto" w:fill="D9D9D9" w:themeFill="background1" w:themeFillShade="D9"/>
          </w:tcPr>
          <w:p w:rsidR="00C9213C" w:rsidRDefault="00C9213C" w:rsidP="00E35376">
            <w:pPr>
              <w:keepNext/>
              <w:jc w:val="both"/>
            </w:pPr>
          </w:p>
          <w:p w:rsidR="00C9213C" w:rsidRPr="00940C9E" w:rsidRDefault="00C9213C" w:rsidP="003D2D05">
            <w:pPr>
              <w:keepNext/>
              <w:jc w:val="center"/>
              <w:rPr>
                <w:b/>
              </w:rPr>
            </w:pPr>
            <w:r w:rsidRPr="00940C9E">
              <w:rPr>
                <w:b/>
              </w:rPr>
              <w:t>Chapter 21:Creating criminal offences</w:t>
            </w:r>
          </w:p>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21.1</w:t>
            </w:r>
          </w:p>
        </w:tc>
        <w:tc>
          <w:tcPr>
            <w:tcW w:w="6785" w:type="dxa"/>
          </w:tcPr>
          <w:p w:rsidR="00C9213C" w:rsidRPr="00E35376" w:rsidRDefault="00C9213C" w:rsidP="003D2D05">
            <w:pPr>
              <w:keepNext/>
              <w:jc w:val="both"/>
              <w:rPr>
                <w:i/>
              </w:rPr>
            </w:pPr>
            <w:r w:rsidRPr="00E35376">
              <w:rPr>
                <w:i/>
              </w:rPr>
              <w:t>Legislation must precisely define the prohibited conduct.</w:t>
            </w:r>
          </w:p>
          <w:p w:rsidR="00C9213C" w:rsidRPr="00E35376" w:rsidRDefault="00C9213C" w:rsidP="003D2D05">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21.2</w:t>
            </w:r>
          </w:p>
        </w:tc>
        <w:tc>
          <w:tcPr>
            <w:tcW w:w="6785" w:type="dxa"/>
          </w:tcPr>
          <w:p w:rsidR="00C9213C" w:rsidRPr="00E35376" w:rsidRDefault="00C9213C" w:rsidP="003D2D05">
            <w:pPr>
              <w:keepNext/>
              <w:jc w:val="both"/>
              <w:rPr>
                <w:i/>
              </w:rPr>
            </w:pPr>
            <w:r w:rsidRPr="00E35376">
              <w:rPr>
                <w:i/>
              </w:rPr>
              <w:t>Legislation must state what mental element must be present for an offence to be committed.</w:t>
            </w:r>
          </w:p>
          <w:p w:rsidR="00C9213C" w:rsidRPr="00E35376" w:rsidRDefault="00C9213C" w:rsidP="003D2D05">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21.3</w:t>
            </w:r>
          </w:p>
        </w:tc>
        <w:tc>
          <w:tcPr>
            <w:tcW w:w="6785" w:type="dxa"/>
          </w:tcPr>
          <w:p w:rsidR="00C9213C" w:rsidRPr="00E35376" w:rsidRDefault="00C9213C" w:rsidP="003D2D05">
            <w:pPr>
              <w:keepNext/>
              <w:jc w:val="both"/>
              <w:rPr>
                <w:i/>
              </w:rPr>
            </w:pPr>
            <w:r w:rsidRPr="00E35376">
              <w:rPr>
                <w:i/>
              </w:rPr>
              <w:t>Legislation must identify any specific defences that are available.</w:t>
            </w:r>
          </w:p>
          <w:p w:rsidR="00C9213C" w:rsidRPr="00E35376" w:rsidRDefault="00C9213C" w:rsidP="003D2D05">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21.4</w:t>
            </w:r>
          </w:p>
        </w:tc>
        <w:tc>
          <w:tcPr>
            <w:tcW w:w="6785" w:type="dxa"/>
          </w:tcPr>
          <w:p w:rsidR="00C9213C" w:rsidRPr="00E35376" w:rsidRDefault="00C9213C" w:rsidP="003D2D05">
            <w:pPr>
              <w:keepNext/>
              <w:jc w:val="both"/>
              <w:rPr>
                <w:i/>
              </w:rPr>
            </w:pPr>
            <w:r w:rsidRPr="00E35376">
              <w:rPr>
                <w:i/>
              </w:rPr>
              <w:t>Legislation must identify who will be liable to criminal conviction and in what circumstances they will be liable.</w:t>
            </w:r>
          </w:p>
          <w:p w:rsidR="00C9213C" w:rsidRPr="00E35376" w:rsidRDefault="00C9213C" w:rsidP="003D2D05">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21.5</w:t>
            </w:r>
          </w:p>
        </w:tc>
        <w:tc>
          <w:tcPr>
            <w:tcW w:w="6785" w:type="dxa"/>
          </w:tcPr>
          <w:p w:rsidR="00C9213C" w:rsidRPr="00E35376" w:rsidRDefault="00C9213C" w:rsidP="003D2D05">
            <w:pPr>
              <w:keepNext/>
              <w:jc w:val="both"/>
              <w:rPr>
                <w:i/>
              </w:rPr>
            </w:pPr>
            <w:r w:rsidRPr="00E35376">
              <w:rPr>
                <w:i/>
              </w:rPr>
              <w:t xml:space="preserve">Compelling reasons must exist to justify applying the criminal law to any conduct. The criminal law should be reserved only for conduct that society considers is sufficiently blameworthy to attract the consequences of a criminal conviction. </w:t>
            </w:r>
          </w:p>
          <w:p w:rsidR="00C9213C" w:rsidRPr="00E35376" w:rsidRDefault="00C9213C" w:rsidP="003D2D05">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Borders>
              <w:bottom w:val="single" w:sz="4" w:space="0" w:color="auto"/>
            </w:tcBorders>
          </w:tcPr>
          <w:p w:rsidR="00C9213C" w:rsidRDefault="00C9213C" w:rsidP="00E35376">
            <w:pPr>
              <w:keepNext/>
              <w:jc w:val="both"/>
              <w:rPr>
                <w:i/>
              </w:rPr>
            </w:pPr>
            <w:r>
              <w:rPr>
                <w:i/>
              </w:rPr>
              <w:t>21.6</w:t>
            </w:r>
          </w:p>
        </w:tc>
        <w:tc>
          <w:tcPr>
            <w:tcW w:w="6785" w:type="dxa"/>
            <w:tcBorders>
              <w:bottom w:val="single" w:sz="4" w:space="0" w:color="auto"/>
            </w:tcBorders>
          </w:tcPr>
          <w:p w:rsidR="00C9213C" w:rsidRPr="00E35376" w:rsidRDefault="00C9213C" w:rsidP="003D2D05">
            <w:pPr>
              <w:keepNext/>
              <w:jc w:val="both"/>
              <w:rPr>
                <w:i/>
              </w:rPr>
            </w:pPr>
            <w:r w:rsidRPr="00E35376">
              <w:rPr>
                <w:i/>
              </w:rPr>
              <w:t>Legislation must state the maximum fine and/or term of imprisonment.</w:t>
            </w:r>
          </w:p>
          <w:p w:rsidR="00C9213C" w:rsidRPr="00E35376" w:rsidRDefault="00C9213C" w:rsidP="003D2D05">
            <w:pPr>
              <w:keepNext/>
              <w:ind w:left="720"/>
              <w:jc w:val="both"/>
              <w:rPr>
                <w:i/>
              </w:rPr>
            </w:pPr>
          </w:p>
        </w:tc>
        <w:tc>
          <w:tcPr>
            <w:tcW w:w="1153" w:type="dxa"/>
            <w:tcBorders>
              <w:bottom w:val="single" w:sz="4" w:space="0" w:color="auto"/>
            </w:tcBorders>
          </w:tcPr>
          <w:p w:rsidR="00C9213C" w:rsidRDefault="00C9213C" w:rsidP="00E35376">
            <w:pPr>
              <w:keepNext/>
              <w:jc w:val="both"/>
            </w:pPr>
          </w:p>
        </w:tc>
        <w:tc>
          <w:tcPr>
            <w:tcW w:w="1134" w:type="dxa"/>
            <w:tcBorders>
              <w:bottom w:val="single" w:sz="4" w:space="0" w:color="auto"/>
            </w:tcBorders>
          </w:tcPr>
          <w:p w:rsidR="00C9213C" w:rsidRDefault="00C9213C" w:rsidP="00E35376">
            <w:pPr>
              <w:keepNext/>
              <w:jc w:val="both"/>
            </w:pPr>
          </w:p>
        </w:tc>
        <w:tc>
          <w:tcPr>
            <w:tcW w:w="3681" w:type="dxa"/>
            <w:tcBorders>
              <w:bottom w:val="single" w:sz="4" w:space="0" w:color="auto"/>
            </w:tcBorders>
          </w:tcPr>
          <w:p w:rsidR="00C9213C" w:rsidRDefault="00C9213C" w:rsidP="00E35376">
            <w:pPr>
              <w:keepNext/>
              <w:jc w:val="both"/>
            </w:pPr>
          </w:p>
        </w:tc>
      </w:tr>
      <w:tr w:rsidR="00C9213C" w:rsidTr="007505FD">
        <w:tc>
          <w:tcPr>
            <w:tcW w:w="13847" w:type="dxa"/>
            <w:gridSpan w:val="5"/>
            <w:shd w:val="clear" w:color="auto" w:fill="D9D9D9" w:themeFill="background1" w:themeFillShade="D9"/>
          </w:tcPr>
          <w:p w:rsidR="00C9213C" w:rsidRDefault="00C9213C" w:rsidP="00E35376">
            <w:pPr>
              <w:keepNext/>
              <w:jc w:val="both"/>
              <w:rPr>
                <w:i/>
              </w:rPr>
            </w:pPr>
          </w:p>
          <w:p w:rsidR="00C9213C" w:rsidRPr="00940C9E" w:rsidRDefault="00C9213C" w:rsidP="003D2D05">
            <w:pPr>
              <w:keepNext/>
              <w:jc w:val="center"/>
              <w:rPr>
                <w:b/>
                <w:i/>
              </w:rPr>
            </w:pPr>
            <w:r w:rsidRPr="00940C9E">
              <w:rPr>
                <w:b/>
                <w:i/>
              </w:rPr>
              <w:t>Chapter 22: Creating infringement offences</w:t>
            </w:r>
          </w:p>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22.1</w:t>
            </w:r>
          </w:p>
        </w:tc>
        <w:tc>
          <w:tcPr>
            <w:tcW w:w="6785" w:type="dxa"/>
          </w:tcPr>
          <w:p w:rsidR="00C9213C" w:rsidRPr="00E35376" w:rsidRDefault="00C9213C" w:rsidP="003D2D05">
            <w:pPr>
              <w:keepNext/>
              <w:jc w:val="both"/>
              <w:rPr>
                <w:i/>
              </w:rPr>
            </w:pPr>
            <w:r w:rsidRPr="00E35376">
              <w:rPr>
                <w:i/>
              </w:rPr>
              <w:t>Infringement offences should be reserved for matters regarded as being of concern to the community and should be prohibited, but do not justify the imposition of a criminal conviction, significant fine, or imprisonment.</w:t>
            </w:r>
          </w:p>
          <w:p w:rsidR="00C9213C" w:rsidRPr="00E35376" w:rsidRDefault="00C9213C" w:rsidP="003D2D05">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22.2</w:t>
            </w:r>
          </w:p>
        </w:tc>
        <w:tc>
          <w:tcPr>
            <w:tcW w:w="6785" w:type="dxa"/>
          </w:tcPr>
          <w:p w:rsidR="00C9213C" w:rsidRPr="00E35376" w:rsidRDefault="00C9213C" w:rsidP="003D2D05">
            <w:pPr>
              <w:keepNext/>
              <w:jc w:val="both"/>
              <w:rPr>
                <w:i/>
              </w:rPr>
            </w:pPr>
            <w:r w:rsidRPr="00E35376">
              <w:rPr>
                <w:i/>
              </w:rPr>
              <w:t>Infringement offences must be authorised by primary legislation.</w:t>
            </w:r>
          </w:p>
          <w:p w:rsidR="00C9213C" w:rsidRPr="00E35376" w:rsidRDefault="00C9213C" w:rsidP="003D2D05">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22.3</w:t>
            </w:r>
          </w:p>
        </w:tc>
        <w:tc>
          <w:tcPr>
            <w:tcW w:w="6785" w:type="dxa"/>
          </w:tcPr>
          <w:p w:rsidR="00C9213C" w:rsidRPr="00E35376" w:rsidRDefault="00C9213C" w:rsidP="00940C9E">
            <w:pPr>
              <w:keepNext/>
              <w:jc w:val="both"/>
              <w:rPr>
                <w:i/>
              </w:rPr>
            </w:pPr>
            <w:r w:rsidRPr="003D2D05">
              <w:rPr>
                <w:i/>
              </w:rPr>
              <w:t>Section 21 of the Summary Proceedings Act 1957 should apply to all new infringement offences.</w:t>
            </w: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7257BC">
        <w:tc>
          <w:tcPr>
            <w:tcW w:w="13847" w:type="dxa"/>
            <w:gridSpan w:val="5"/>
            <w:shd w:val="clear" w:color="auto" w:fill="D9D9D9" w:themeFill="background1" w:themeFillShade="D9"/>
          </w:tcPr>
          <w:p w:rsidR="00C9213C" w:rsidRDefault="00C9213C" w:rsidP="00E35376">
            <w:pPr>
              <w:keepNext/>
              <w:jc w:val="both"/>
            </w:pPr>
          </w:p>
          <w:p w:rsidR="00C9213C" w:rsidRPr="00940C9E" w:rsidRDefault="00C9213C" w:rsidP="003D2D05">
            <w:pPr>
              <w:keepNext/>
              <w:jc w:val="center"/>
              <w:rPr>
                <w:b/>
              </w:rPr>
            </w:pPr>
            <w:r w:rsidRPr="00940C9E">
              <w:rPr>
                <w:b/>
              </w:rPr>
              <w:t>Chapter 23: Creating new pecuniary penalties</w:t>
            </w:r>
          </w:p>
          <w:p w:rsidR="00C9213C" w:rsidRDefault="00C9213C" w:rsidP="00E35376">
            <w:pPr>
              <w:keepNext/>
              <w:jc w:val="both"/>
            </w:pPr>
          </w:p>
        </w:tc>
      </w:tr>
      <w:tr w:rsidR="00C9213C" w:rsidTr="00C9213C">
        <w:tc>
          <w:tcPr>
            <w:tcW w:w="1094" w:type="dxa"/>
            <w:tcBorders>
              <w:bottom w:val="single" w:sz="4" w:space="0" w:color="auto"/>
            </w:tcBorders>
          </w:tcPr>
          <w:p w:rsidR="00C9213C" w:rsidRDefault="00C9213C" w:rsidP="00E35376">
            <w:pPr>
              <w:keepNext/>
              <w:jc w:val="both"/>
              <w:rPr>
                <w:i/>
              </w:rPr>
            </w:pPr>
            <w:r>
              <w:rPr>
                <w:i/>
              </w:rPr>
              <w:t>23.1</w:t>
            </w:r>
          </w:p>
        </w:tc>
        <w:tc>
          <w:tcPr>
            <w:tcW w:w="6785" w:type="dxa"/>
            <w:tcBorders>
              <w:bottom w:val="single" w:sz="4" w:space="0" w:color="auto"/>
            </w:tcBorders>
          </w:tcPr>
          <w:p w:rsidR="00C9213C" w:rsidRPr="003D2D05" w:rsidRDefault="00C9213C" w:rsidP="003D2D05">
            <w:pPr>
              <w:keepNext/>
              <w:jc w:val="both"/>
              <w:rPr>
                <w:i/>
              </w:rPr>
            </w:pPr>
            <w:r>
              <w:rPr>
                <w:i/>
              </w:rPr>
              <w:t>Consult legal advisors and the Ministry of Justice pending the Government’s response to the Law Commission’s project.</w:t>
            </w:r>
          </w:p>
        </w:tc>
        <w:tc>
          <w:tcPr>
            <w:tcW w:w="1153" w:type="dxa"/>
            <w:tcBorders>
              <w:bottom w:val="single" w:sz="4" w:space="0" w:color="auto"/>
            </w:tcBorders>
          </w:tcPr>
          <w:p w:rsidR="00C9213C" w:rsidRDefault="00C9213C" w:rsidP="00E35376">
            <w:pPr>
              <w:keepNext/>
              <w:jc w:val="both"/>
            </w:pPr>
          </w:p>
        </w:tc>
        <w:tc>
          <w:tcPr>
            <w:tcW w:w="1134" w:type="dxa"/>
            <w:tcBorders>
              <w:bottom w:val="single" w:sz="4" w:space="0" w:color="auto"/>
            </w:tcBorders>
          </w:tcPr>
          <w:p w:rsidR="00C9213C" w:rsidRDefault="00C9213C" w:rsidP="00E35376">
            <w:pPr>
              <w:keepNext/>
              <w:jc w:val="both"/>
            </w:pPr>
          </w:p>
        </w:tc>
        <w:tc>
          <w:tcPr>
            <w:tcW w:w="3681" w:type="dxa"/>
            <w:tcBorders>
              <w:bottom w:val="single" w:sz="4" w:space="0" w:color="auto"/>
            </w:tcBorders>
          </w:tcPr>
          <w:p w:rsidR="00C9213C" w:rsidRDefault="00C9213C" w:rsidP="00E35376">
            <w:pPr>
              <w:keepNext/>
              <w:jc w:val="both"/>
            </w:pPr>
          </w:p>
        </w:tc>
      </w:tr>
      <w:tr w:rsidR="00C9213C" w:rsidTr="00A72775">
        <w:tc>
          <w:tcPr>
            <w:tcW w:w="13847" w:type="dxa"/>
            <w:gridSpan w:val="5"/>
            <w:shd w:val="clear" w:color="auto" w:fill="D9D9D9" w:themeFill="background1" w:themeFillShade="D9"/>
          </w:tcPr>
          <w:p w:rsidR="00C9213C" w:rsidRDefault="00C9213C" w:rsidP="00E35376">
            <w:pPr>
              <w:keepNext/>
              <w:jc w:val="both"/>
            </w:pPr>
          </w:p>
          <w:p w:rsidR="00C9213C" w:rsidRPr="00940C9E" w:rsidRDefault="00C9213C" w:rsidP="003D2D05">
            <w:pPr>
              <w:keepNext/>
              <w:jc w:val="center"/>
              <w:rPr>
                <w:b/>
              </w:rPr>
            </w:pPr>
            <w:r w:rsidRPr="00940C9E">
              <w:rPr>
                <w:b/>
              </w:rPr>
              <w:t>Chapter 24: Imposing time limits for enforcement</w:t>
            </w:r>
          </w:p>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24.1</w:t>
            </w:r>
          </w:p>
        </w:tc>
        <w:tc>
          <w:tcPr>
            <w:tcW w:w="6785" w:type="dxa"/>
          </w:tcPr>
          <w:p w:rsidR="00C9213C" w:rsidRPr="00E35376" w:rsidRDefault="00C9213C" w:rsidP="000A2B05">
            <w:pPr>
              <w:keepNext/>
              <w:jc w:val="both"/>
              <w:rPr>
                <w:i/>
              </w:rPr>
            </w:pPr>
            <w:r w:rsidRPr="00E35376">
              <w:rPr>
                <w:i/>
              </w:rPr>
              <w:t xml:space="preserve">The limitation periods in the Criminal Procedure Act 2011 should apply to all new criminal offences. </w:t>
            </w:r>
          </w:p>
          <w:p w:rsidR="00C9213C" w:rsidRDefault="00C9213C" w:rsidP="003D2D05">
            <w:pPr>
              <w:keepNext/>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24.2</w:t>
            </w:r>
          </w:p>
        </w:tc>
        <w:tc>
          <w:tcPr>
            <w:tcW w:w="6785" w:type="dxa"/>
          </w:tcPr>
          <w:p w:rsidR="00C9213C" w:rsidRPr="00E35376" w:rsidRDefault="00C9213C" w:rsidP="000A2B05">
            <w:pPr>
              <w:keepNext/>
              <w:jc w:val="both"/>
              <w:rPr>
                <w:i/>
              </w:rPr>
            </w:pPr>
            <w:r w:rsidRPr="00E35376">
              <w:rPr>
                <w:i/>
              </w:rPr>
              <w:t xml:space="preserve">The limitation periods in the Limitation Act 2010 should apply to all new civil proceedings. </w:t>
            </w:r>
          </w:p>
          <w:p w:rsidR="00C9213C" w:rsidRPr="00E35376" w:rsidRDefault="00C9213C" w:rsidP="003D2D05">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Borders>
              <w:bottom w:val="single" w:sz="4" w:space="0" w:color="auto"/>
            </w:tcBorders>
          </w:tcPr>
          <w:p w:rsidR="00C9213C" w:rsidRDefault="00C9213C" w:rsidP="00E35376">
            <w:pPr>
              <w:keepNext/>
              <w:jc w:val="both"/>
              <w:rPr>
                <w:i/>
              </w:rPr>
            </w:pPr>
            <w:r>
              <w:rPr>
                <w:i/>
              </w:rPr>
              <w:t>24.3</w:t>
            </w:r>
          </w:p>
        </w:tc>
        <w:tc>
          <w:tcPr>
            <w:tcW w:w="6785" w:type="dxa"/>
            <w:tcBorders>
              <w:bottom w:val="single" w:sz="4" w:space="0" w:color="auto"/>
            </w:tcBorders>
          </w:tcPr>
          <w:p w:rsidR="00C9213C" w:rsidRPr="00E35376" w:rsidRDefault="00C9213C" w:rsidP="000A2B05">
            <w:pPr>
              <w:keepNext/>
              <w:jc w:val="both"/>
              <w:rPr>
                <w:i/>
              </w:rPr>
            </w:pPr>
            <w:r w:rsidRPr="000A2B05">
              <w:rPr>
                <w:i/>
              </w:rPr>
              <w:t>Consult legal advisors and the Ministry of Justice pending the Government’s response to the Law Commission’s project.</w:t>
            </w:r>
          </w:p>
        </w:tc>
        <w:tc>
          <w:tcPr>
            <w:tcW w:w="1153" w:type="dxa"/>
            <w:tcBorders>
              <w:bottom w:val="single" w:sz="4" w:space="0" w:color="auto"/>
            </w:tcBorders>
          </w:tcPr>
          <w:p w:rsidR="00C9213C" w:rsidRDefault="00C9213C" w:rsidP="00E35376">
            <w:pPr>
              <w:keepNext/>
              <w:jc w:val="both"/>
            </w:pPr>
          </w:p>
        </w:tc>
        <w:tc>
          <w:tcPr>
            <w:tcW w:w="1134" w:type="dxa"/>
            <w:tcBorders>
              <w:bottom w:val="single" w:sz="4" w:space="0" w:color="auto"/>
            </w:tcBorders>
          </w:tcPr>
          <w:p w:rsidR="00C9213C" w:rsidRDefault="00C9213C" w:rsidP="00E35376">
            <w:pPr>
              <w:keepNext/>
              <w:jc w:val="both"/>
            </w:pPr>
          </w:p>
        </w:tc>
        <w:tc>
          <w:tcPr>
            <w:tcW w:w="3681" w:type="dxa"/>
            <w:tcBorders>
              <w:bottom w:val="single" w:sz="4" w:space="0" w:color="auto"/>
            </w:tcBorders>
          </w:tcPr>
          <w:p w:rsidR="00C9213C" w:rsidRDefault="00C9213C" w:rsidP="00E35376">
            <w:pPr>
              <w:keepNext/>
              <w:jc w:val="both"/>
            </w:pPr>
          </w:p>
        </w:tc>
      </w:tr>
      <w:tr w:rsidR="00C9213C" w:rsidTr="00310D0F">
        <w:tc>
          <w:tcPr>
            <w:tcW w:w="13847" w:type="dxa"/>
            <w:gridSpan w:val="5"/>
            <w:shd w:val="clear" w:color="auto" w:fill="D9D9D9" w:themeFill="background1" w:themeFillShade="D9"/>
          </w:tcPr>
          <w:p w:rsidR="00C9213C" w:rsidRDefault="00C9213C" w:rsidP="00E35376">
            <w:pPr>
              <w:keepNext/>
              <w:jc w:val="both"/>
              <w:rPr>
                <w:i/>
              </w:rPr>
            </w:pPr>
          </w:p>
          <w:p w:rsidR="00C9213C" w:rsidRPr="00940C9E" w:rsidRDefault="00C9213C" w:rsidP="000A2B05">
            <w:pPr>
              <w:keepNext/>
              <w:jc w:val="center"/>
              <w:rPr>
                <w:b/>
                <w:i/>
              </w:rPr>
            </w:pPr>
            <w:r w:rsidRPr="00940C9E">
              <w:rPr>
                <w:b/>
                <w:i/>
              </w:rPr>
              <w:t>Chapter 25: Creating a system of appeal, review and complaint</w:t>
            </w:r>
          </w:p>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25.1</w:t>
            </w:r>
          </w:p>
        </w:tc>
        <w:tc>
          <w:tcPr>
            <w:tcW w:w="6785" w:type="dxa"/>
          </w:tcPr>
          <w:p w:rsidR="00C9213C" w:rsidRPr="000A2B05" w:rsidRDefault="00C9213C" w:rsidP="000A2B05">
            <w:pPr>
              <w:keepNext/>
              <w:jc w:val="both"/>
              <w:rPr>
                <w:i/>
              </w:rPr>
            </w:pPr>
            <w:r w:rsidRPr="000A2B05">
              <w:rPr>
                <w:i/>
              </w:rPr>
              <w:t>Legislation should not restrict the right to apply for judicial review.</w:t>
            </w:r>
          </w:p>
          <w:p w:rsidR="00C9213C" w:rsidRPr="00E35376" w:rsidRDefault="00C9213C" w:rsidP="000A2B05">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25.2</w:t>
            </w:r>
          </w:p>
        </w:tc>
        <w:tc>
          <w:tcPr>
            <w:tcW w:w="6785" w:type="dxa"/>
          </w:tcPr>
          <w:p w:rsidR="00C9213C" w:rsidRPr="00E35376" w:rsidRDefault="00C9213C" w:rsidP="000A2B05">
            <w:pPr>
              <w:keepNext/>
              <w:jc w:val="both"/>
              <w:rPr>
                <w:i/>
              </w:rPr>
            </w:pPr>
            <w:r w:rsidRPr="00E35376">
              <w:rPr>
                <w:i/>
              </w:rPr>
              <w:t xml:space="preserve">A process of internal review should be provided as the first stage in the complaints/appeal process. </w:t>
            </w:r>
          </w:p>
          <w:p w:rsidR="00C9213C" w:rsidRPr="00E35376" w:rsidRDefault="00C9213C" w:rsidP="003D2D05">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25.3</w:t>
            </w:r>
          </w:p>
        </w:tc>
        <w:tc>
          <w:tcPr>
            <w:tcW w:w="6785" w:type="dxa"/>
          </w:tcPr>
          <w:p w:rsidR="00C9213C" w:rsidRPr="00E35376" w:rsidRDefault="00C9213C" w:rsidP="000A2B05">
            <w:pPr>
              <w:keepNext/>
              <w:jc w:val="both"/>
              <w:rPr>
                <w:i/>
              </w:rPr>
            </w:pPr>
            <w:r w:rsidRPr="00E35376">
              <w:rPr>
                <w:i/>
              </w:rPr>
              <w:t>All bodies that exercise public functions should be subject to the Ombudsmen Act 1975 unless compelling reasons exist not to do so.</w:t>
            </w:r>
          </w:p>
          <w:p w:rsidR="00C9213C" w:rsidRPr="00E35376" w:rsidRDefault="00C9213C" w:rsidP="000A2B05">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25.4</w:t>
            </w:r>
          </w:p>
        </w:tc>
        <w:tc>
          <w:tcPr>
            <w:tcW w:w="6785" w:type="dxa"/>
          </w:tcPr>
          <w:p w:rsidR="00C9213C" w:rsidRPr="00E35376" w:rsidRDefault="00C9213C" w:rsidP="000A2B05">
            <w:pPr>
              <w:keepNext/>
              <w:jc w:val="both"/>
              <w:rPr>
                <w:i/>
              </w:rPr>
            </w:pPr>
            <w:r w:rsidRPr="00E35376">
              <w:rPr>
                <w:i/>
              </w:rPr>
              <w:t>Existing commissioners and other specialist statutory office holders should have jurisdiction in respect of decisions relevant to their specialist areas.</w:t>
            </w:r>
          </w:p>
          <w:p w:rsidR="00C9213C" w:rsidRPr="00E35376" w:rsidRDefault="00C9213C" w:rsidP="000A2B05">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25.5</w:t>
            </w:r>
          </w:p>
        </w:tc>
        <w:tc>
          <w:tcPr>
            <w:tcW w:w="6785" w:type="dxa"/>
          </w:tcPr>
          <w:p w:rsidR="00C9213C" w:rsidRPr="00E35376" w:rsidRDefault="00C9213C" w:rsidP="000A2B05">
            <w:pPr>
              <w:keepNext/>
              <w:jc w:val="both"/>
              <w:rPr>
                <w:i/>
              </w:rPr>
            </w:pPr>
            <w:r w:rsidRPr="00E35376">
              <w:rPr>
                <w:i/>
              </w:rPr>
              <w:t>Appeals against decisions in criminal proceedings should be governed or be consistent with the Criminal Procedure Act 2011.</w:t>
            </w:r>
          </w:p>
          <w:p w:rsidR="00C9213C" w:rsidRPr="00E35376" w:rsidRDefault="00C9213C" w:rsidP="000A2B05">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25.6</w:t>
            </w:r>
          </w:p>
        </w:tc>
        <w:tc>
          <w:tcPr>
            <w:tcW w:w="6785" w:type="dxa"/>
          </w:tcPr>
          <w:p w:rsidR="00C9213C" w:rsidRPr="00E35376" w:rsidRDefault="00C9213C" w:rsidP="000A2B05">
            <w:pPr>
              <w:keepNext/>
              <w:jc w:val="both"/>
              <w:rPr>
                <w:i/>
              </w:rPr>
            </w:pPr>
            <w:r w:rsidRPr="00E35376">
              <w:rPr>
                <w:i/>
              </w:rPr>
              <w:t>Legislation should identify which of the existing courts or specialist bodies will hear any appeal.</w:t>
            </w:r>
          </w:p>
          <w:p w:rsidR="00C9213C" w:rsidRPr="00E35376" w:rsidRDefault="00C9213C" w:rsidP="000A2B05">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25.7</w:t>
            </w:r>
          </w:p>
        </w:tc>
        <w:tc>
          <w:tcPr>
            <w:tcW w:w="6785" w:type="dxa"/>
          </w:tcPr>
          <w:p w:rsidR="00C9213C" w:rsidRPr="00E35376" w:rsidRDefault="00C9213C" w:rsidP="000A2B05">
            <w:pPr>
              <w:keepNext/>
              <w:jc w:val="both"/>
              <w:rPr>
                <w:i/>
              </w:rPr>
            </w:pPr>
            <w:r w:rsidRPr="00E35376">
              <w:rPr>
                <w:i/>
              </w:rPr>
              <w:t>Appeals in civil proceedings should be governed by the procedures in the District Court Rules or High Court Rules.</w:t>
            </w:r>
          </w:p>
          <w:p w:rsidR="00C9213C" w:rsidRPr="00E35376" w:rsidRDefault="00C9213C" w:rsidP="000A2B05">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25.8</w:t>
            </w:r>
          </w:p>
        </w:tc>
        <w:tc>
          <w:tcPr>
            <w:tcW w:w="6785" w:type="dxa"/>
          </w:tcPr>
          <w:p w:rsidR="00C9213C" w:rsidRPr="00E35376" w:rsidRDefault="00C9213C" w:rsidP="000A2B05">
            <w:pPr>
              <w:keepNext/>
              <w:jc w:val="both"/>
              <w:rPr>
                <w:i/>
              </w:rPr>
            </w:pPr>
            <w:r w:rsidRPr="00E35376">
              <w:rPr>
                <w:i/>
              </w:rPr>
              <w:t>Legislation should identify the type of appeal procedure to be adopted.</w:t>
            </w:r>
          </w:p>
          <w:p w:rsidR="00C9213C" w:rsidRPr="00E35376" w:rsidRDefault="00C9213C" w:rsidP="000A2B05">
            <w:pPr>
              <w:keepNext/>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br w:type="page"/>
            </w:r>
            <w:r>
              <w:rPr>
                <w:i/>
              </w:rPr>
              <w:t>25.9</w:t>
            </w:r>
          </w:p>
        </w:tc>
        <w:tc>
          <w:tcPr>
            <w:tcW w:w="6785" w:type="dxa"/>
          </w:tcPr>
          <w:p w:rsidR="00C9213C" w:rsidRPr="00E35376" w:rsidRDefault="00C9213C" w:rsidP="000A2B05">
            <w:pPr>
              <w:keepNext/>
              <w:jc w:val="both"/>
              <w:rPr>
                <w:i/>
              </w:rPr>
            </w:pPr>
            <w:r w:rsidRPr="00E35376">
              <w:rPr>
                <w:i/>
              </w:rPr>
              <w:t>The right to bring first and subsequent appeals should not be unreasonably limited.</w:t>
            </w:r>
          </w:p>
          <w:p w:rsidR="00C9213C" w:rsidRPr="00E35376" w:rsidRDefault="00C9213C" w:rsidP="000A2B05">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E35376">
            <w:pPr>
              <w:keepNext/>
              <w:jc w:val="both"/>
              <w:rPr>
                <w:i/>
              </w:rPr>
            </w:pPr>
            <w:r>
              <w:rPr>
                <w:i/>
              </w:rPr>
              <w:t>25.10</w:t>
            </w:r>
          </w:p>
        </w:tc>
        <w:tc>
          <w:tcPr>
            <w:tcW w:w="6785" w:type="dxa"/>
          </w:tcPr>
          <w:p w:rsidR="00C9213C" w:rsidRPr="00E35376" w:rsidRDefault="00C9213C" w:rsidP="000A2B05">
            <w:pPr>
              <w:keepNext/>
              <w:jc w:val="both"/>
              <w:rPr>
                <w:i/>
              </w:rPr>
            </w:pPr>
            <w:r w:rsidRPr="00E35376">
              <w:rPr>
                <w:i/>
              </w:rPr>
              <w:t>The subject matter of an appeal should not be unreasonably limited.</w:t>
            </w:r>
          </w:p>
          <w:p w:rsidR="00C9213C" w:rsidRPr="00E35376" w:rsidRDefault="00C9213C" w:rsidP="000A2B05">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Borders>
              <w:bottom w:val="single" w:sz="4" w:space="0" w:color="auto"/>
            </w:tcBorders>
          </w:tcPr>
          <w:p w:rsidR="00C9213C" w:rsidRDefault="00C9213C" w:rsidP="00E35376">
            <w:pPr>
              <w:keepNext/>
              <w:jc w:val="both"/>
              <w:rPr>
                <w:i/>
              </w:rPr>
            </w:pPr>
            <w:r>
              <w:rPr>
                <w:i/>
              </w:rPr>
              <w:t>25.11</w:t>
            </w:r>
          </w:p>
        </w:tc>
        <w:tc>
          <w:tcPr>
            <w:tcW w:w="6785" w:type="dxa"/>
            <w:tcBorders>
              <w:bottom w:val="single" w:sz="4" w:space="0" w:color="auto"/>
            </w:tcBorders>
          </w:tcPr>
          <w:p w:rsidR="00C9213C" w:rsidRPr="00E35376" w:rsidRDefault="00C9213C" w:rsidP="000A2B05">
            <w:pPr>
              <w:keepNext/>
              <w:jc w:val="both"/>
              <w:rPr>
                <w:i/>
              </w:rPr>
            </w:pPr>
            <w:r w:rsidRPr="00E35376">
              <w:rPr>
                <w:i/>
              </w:rPr>
              <w:t>The appeal procedure adopted should contain adequate safeguards to protect an individual’s rights and interests and be consistent with the right to natural justice affirmed by section 27(1) NZBORA.</w:t>
            </w:r>
          </w:p>
          <w:p w:rsidR="00C9213C" w:rsidRPr="00E35376" w:rsidRDefault="00C9213C" w:rsidP="000A2B05">
            <w:pPr>
              <w:keepNext/>
              <w:ind w:left="720"/>
              <w:jc w:val="both"/>
              <w:rPr>
                <w:i/>
              </w:rPr>
            </w:pPr>
          </w:p>
        </w:tc>
        <w:tc>
          <w:tcPr>
            <w:tcW w:w="1153" w:type="dxa"/>
            <w:tcBorders>
              <w:bottom w:val="single" w:sz="4" w:space="0" w:color="auto"/>
            </w:tcBorders>
          </w:tcPr>
          <w:p w:rsidR="00C9213C" w:rsidRDefault="00C9213C" w:rsidP="00E35376">
            <w:pPr>
              <w:keepNext/>
              <w:jc w:val="both"/>
            </w:pPr>
          </w:p>
        </w:tc>
        <w:tc>
          <w:tcPr>
            <w:tcW w:w="1134" w:type="dxa"/>
            <w:tcBorders>
              <w:bottom w:val="single" w:sz="4" w:space="0" w:color="auto"/>
            </w:tcBorders>
          </w:tcPr>
          <w:p w:rsidR="00C9213C" w:rsidRDefault="00C9213C" w:rsidP="00E35376">
            <w:pPr>
              <w:keepNext/>
              <w:jc w:val="both"/>
            </w:pPr>
          </w:p>
        </w:tc>
        <w:tc>
          <w:tcPr>
            <w:tcW w:w="3681" w:type="dxa"/>
            <w:tcBorders>
              <w:bottom w:val="single" w:sz="4" w:space="0" w:color="auto"/>
            </w:tcBorders>
          </w:tcPr>
          <w:p w:rsidR="00C9213C" w:rsidRDefault="00C9213C" w:rsidP="00E35376">
            <w:pPr>
              <w:keepNext/>
              <w:jc w:val="both"/>
            </w:pPr>
          </w:p>
        </w:tc>
      </w:tr>
      <w:tr w:rsidR="00C9213C" w:rsidTr="005F3E63">
        <w:tc>
          <w:tcPr>
            <w:tcW w:w="13847" w:type="dxa"/>
            <w:gridSpan w:val="5"/>
            <w:shd w:val="clear" w:color="auto" w:fill="D9D9D9" w:themeFill="background1" w:themeFillShade="D9"/>
          </w:tcPr>
          <w:p w:rsidR="00C9213C" w:rsidRDefault="00C9213C" w:rsidP="00E35376">
            <w:pPr>
              <w:keepNext/>
              <w:jc w:val="both"/>
            </w:pPr>
          </w:p>
          <w:p w:rsidR="00C9213C" w:rsidRPr="00940C9E" w:rsidRDefault="00C9213C" w:rsidP="000A2B05">
            <w:pPr>
              <w:keepNext/>
              <w:jc w:val="center"/>
              <w:rPr>
                <w:b/>
              </w:rPr>
            </w:pPr>
            <w:r w:rsidRPr="00940C9E">
              <w:rPr>
                <w:b/>
              </w:rPr>
              <w:t>Chapter 26: including alternative dispute resolution clauses in legislation</w:t>
            </w:r>
          </w:p>
          <w:p w:rsidR="00C9213C" w:rsidRDefault="00C9213C" w:rsidP="00E35376">
            <w:pPr>
              <w:keepNext/>
              <w:jc w:val="both"/>
            </w:pPr>
          </w:p>
        </w:tc>
      </w:tr>
      <w:tr w:rsidR="00C9213C" w:rsidTr="00C9213C">
        <w:tc>
          <w:tcPr>
            <w:tcW w:w="1094" w:type="dxa"/>
          </w:tcPr>
          <w:p w:rsidR="00C9213C" w:rsidRDefault="00C9213C" w:rsidP="000A2B05">
            <w:pPr>
              <w:keepNext/>
              <w:jc w:val="both"/>
              <w:rPr>
                <w:i/>
              </w:rPr>
            </w:pPr>
            <w:r>
              <w:rPr>
                <w:i/>
              </w:rPr>
              <w:t>26.1</w:t>
            </w:r>
          </w:p>
        </w:tc>
        <w:tc>
          <w:tcPr>
            <w:tcW w:w="6785" w:type="dxa"/>
          </w:tcPr>
          <w:p w:rsidR="00C9213C" w:rsidRPr="00E35376" w:rsidRDefault="00C9213C" w:rsidP="000A2B05">
            <w:pPr>
              <w:keepNext/>
              <w:jc w:val="both"/>
              <w:rPr>
                <w:i/>
              </w:rPr>
            </w:pPr>
            <w:r w:rsidRPr="00E35376">
              <w:rPr>
                <w:i/>
              </w:rPr>
              <w:t>ADR provisions should be included in legislation where the potential nature of the dispute is suitable for determination by ADR.</w:t>
            </w:r>
          </w:p>
          <w:p w:rsidR="00C9213C" w:rsidRPr="00E35376" w:rsidRDefault="00C9213C" w:rsidP="000A2B05">
            <w:pPr>
              <w:keepNext/>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0A2B05">
            <w:pPr>
              <w:keepNext/>
              <w:jc w:val="both"/>
              <w:rPr>
                <w:i/>
              </w:rPr>
            </w:pPr>
            <w:r>
              <w:rPr>
                <w:i/>
              </w:rPr>
              <w:t>26.2</w:t>
            </w:r>
          </w:p>
        </w:tc>
        <w:tc>
          <w:tcPr>
            <w:tcW w:w="6785" w:type="dxa"/>
          </w:tcPr>
          <w:p w:rsidR="00C9213C" w:rsidRPr="00E35376" w:rsidRDefault="00C9213C" w:rsidP="000A2B05">
            <w:pPr>
              <w:keepNext/>
              <w:jc w:val="both"/>
              <w:rPr>
                <w:i/>
              </w:rPr>
            </w:pPr>
            <w:r w:rsidRPr="00E35376">
              <w:rPr>
                <w:i/>
              </w:rPr>
              <w:t>The form of ADR adopted should help to achieve the policy objective and be appropriate having regard to the nature of the dispute and the issues in question.</w:t>
            </w:r>
          </w:p>
          <w:p w:rsidR="00C9213C" w:rsidRPr="00E35376" w:rsidRDefault="00C9213C" w:rsidP="000A2B05">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r w:rsidR="00C9213C" w:rsidTr="00C9213C">
        <w:tc>
          <w:tcPr>
            <w:tcW w:w="1094" w:type="dxa"/>
          </w:tcPr>
          <w:p w:rsidR="00C9213C" w:rsidRDefault="00C9213C" w:rsidP="000A2B05">
            <w:pPr>
              <w:keepNext/>
              <w:jc w:val="both"/>
              <w:rPr>
                <w:i/>
              </w:rPr>
            </w:pPr>
            <w:r>
              <w:rPr>
                <w:i/>
              </w:rPr>
              <w:t>26.3</w:t>
            </w:r>
          </w:p>
        </w:tc>
        <w:tc>
          <w:tcPr>
            <w:tcW w:w="6785" w:type="dxa"/>
          </w:tcPr>
          <w:p w:rsidR="00C9213C" w:rsidRPr="00E35376" w:rsidRDefault="00C9213C" w:rsidP="000A2B05">
            <w:pPr>
              <w:keepNext/>
              <w:jc w:val="both"/>
              <w:rPr>
                <w:i/>
              </w:rPr>
            </w:pPr>
            <w:r w:rsidRPr="00E35376">
              <w:rPr>
                <w:i/>
              </w:rPr>
              <w:t>Legislation should include those elements of the ADR scheme necessary to ensure the appropriate desired outcomes and procedures are adopted.</w:t>
            </w:r>
          </w:p>
          <w:p w:rsidR="00C9213C" w:rsidRPr="00E35376" w:rsidRDefault="00C9213C" w:rsidP="000A2B05">
            <w:pPr>
              <w:keepNext/>
              <w:ind w:left="720"/>
              <w:jc w:val="both"/>
              <w:rPr>
                <w:i/>
              </w:rPr>
            </w:pPr>
          </w:p>
        </w:tc>
        <w:tc>
          <w:tcPr>
            <w:tcW w:w="1153" w:type="dxa"/>
          </w:tcPr>
          <w:p w:rsidR="00C9213C" w:rsidRDefault="00C9213C" w:rsidP="00E35376">
            <w:pPr>
              <w:keepNext/>
              <w:jc w:val="both"/>
            </w:pPr>
          </w:p>
        </w:tc>
        <w:tc>
          <w:tcPr>
            <w:tcW w:w="1134" w:type="dxa"/>
          </w:tcPr>
          <w:p w:rsidR="00C9213C" w:rsidRDefault="00C9213C" w:rsidP="00E35376">
            <w:pPr>
              <w:keepNext/>
              <w:jc w:val="both"/>
            </w:pPr>
          </w:p>
        </w:tc>
        <w:tc>
          <w:tcPr>
            <w:tcW w:w="3681" w:type="dxa"/>
          </w:tcPr>
          <w:p w:rsidR="00C9213C" w:rsidRDefault="00C9213C" w:rsidP="00E35376">
            <w:pPr>
              <w:keepNext/>
              <w:jc w:val="both"/>
            </w:pPr>
          </w:p>
        </w:tc>
      </w:tr>
    </w:tbl>
    <w:p w:rsidR="003B281A" w:rsidRDefault="003B281A"/>
    <w:sectPr w:rsidR="003B281A" w:rsidSect="00CE5F9D">
      <w:headerReference w:type="first" r:id="rId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1EC" w:rsidRDefault="000801EC" w:rsidP="000801EC">
      <w:pPr>
        <w:spacing w:after="0" w:line="240" w:lineRule="auto"/>
      </w:pPr>
      <w:r>
        <w:separator/>
      </w:r>
    </w:p>
  </w:endnote>
  <w:endnote w:type="continuationSeparator" w:id="0">
    <w:p w:rsidR="000801EC" w:rsidRDefault="000801EC" w:rsidP="0008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1EC" w:rsidRDefault="000801EC" w:rsidP="000801EC">
      <w:pPr>
        <w:spacing w:after="0" w:line="240" w:lineRule="auto"/>
      </w:pPr>
      <w:r>
        <w:separator/>
      </w:r>
    </w:p>
  </w:footnote>
  <w:footnote w:type="continuationSeparator" w:id="0">
    <w:p w:rsidR="000801EC" w:rsidRDefault="000801EC" w:rsidP="00080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D8A" w:rsidRDefault="00AF6D8A" w:rsidP="00AF6D8A">
    <w:pPr>
      <w:pStyle w:val="Header"/>
      <w:jc w:val="center"/>
      <w:rPr>
        <w:b/>
        <w:sz w:val="40"/>
        <w:szCs w:val="40"/>
      </w:rPr>
    </w:pPr>
    <w:r w:rsidRPr="002D3D6E">
      <w:rPr>
        <w:b/>
        <w:sz w:val="40"/>
        <w:szCs w:val="40"/>
      </w:rPr>
      <w:t>LAC Guidelines</w:t>
    </w:r>
    <w:r w:rsidR="00FB71D2">
      <w:rPr>
        <w:b/>
        <w:sz w:val="40"/>
        <w:szCs w:val="40"/>
      </w:rPr>
      <w:t xml:space="preserve"> 2014 edition</w:t>
    </w:r>
    <w:r w:rsidRPr="002D3D6E">
      <w:rPr>
        <w:b/>
        <w:sz w:val="40"/>
        <w:szCs w:val="40"/>
      </w:rPr>
      <w:t>: Checklist for officials</w:t>
    </w:r>
  </w:p>
  <w:p w:rsidR="000801EC" w:rsidRDefault="00080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3BD0"/>
    <w:multiLevelType w:val="hybridMultilevel"/>
    <w:tmpl w:val="9BC68B0E"/>
    <w:lvl w:ilvl="0" w:tplc="3D6255B2">
      <w:start w:val="1"/>
      <w:numFmt w:val="upp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nsid w:val="493B0FBB"/>
    <w:multiLevelType w:val="hybridMultilevel"/>
    <w:tmpl w:val="785E0E8C"/>
    <w:lvl w:ilvl="0" w:tplc="A668911E">
      <w:start w:val="1"/>
      <w:numFmt w:val="upp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nsid w:val="6ED11882"/>
    <w:multiLevelType w:val="hybridMultilevel"/>
    <w:tmpl w:val="F3F6A5C8"/>
    <w:lvl w:ilvl="0" w:tplc="07D03766">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745D5E5F"/>
    <w:multiLevelType w:val="hybridMultilevel"/>
    <w:tmpl w:val="5D866B06"/>
    <w:lvl w:ilvl="0" w:tplc="76DE8A38">
      <w:start w:val="1"/>
      <w:numFmt w:val="upperLetter"/>
      <w:pStyle w:val="2Question"/>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0"/>
  </w:num>
  <w:num w:numId="5">
    <w:abstractNumId w:val="3"/>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376"/>
    <w:rsid w:val="000801EC"/>
    <w:rsid w:val="000A2B05"/>
    <w:rsid w:val="0012051C"/>
    <w:rsid w:val="0013082D"/>
    <w:rsid w:val="001C364C"/>
    <w:rsid w:val="00377C23"/>
    <w:rsid w:val="003B281A"/>
    <w:rsid w:val="003D2D05"/>
    <w:rsid w:val="00453113"/>
    <w:rsid w:val="004A2A83"/>
    <w:rsid w:val="00563FC1"/>
    <w:rsid w:val="006557D3"/>
    <w:rsid w:val="007B3E93"/>
    <w:rsid w:val="008277DB"/>
    <w:rsid w:val="00940C9E"/>
    <w:rsid w:val="00975287"/>
    <w:rsid w:val="00AD5FE7"/>
    <w:rsid w:val="00AF18F2"/>
    <w:rsid w:val="00AF6D8A"/>
    <w:rsid w:val="00C9213C"/>
    <w:rsid w:val="00CA34B0"/>
    <w:rsid w:val="00CE5F9D"/>
    <w:rsid w:val="00E35376"/>
    <w:rsid w:val="00E81731"/>
    <w:rsid w:val="00F0418F"/>
    <w:rsid w:val="00FB71D2"/>
    <w:rsid w:val="00FC2F73"/>
    <w:rsid w:val="00FD6C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E817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817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173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173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817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173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173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173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Principle"/>
    <w:link w:val="TextbodyChar"/>
    <w:rsid w:val="004A2A83"/>
    <w:rPr>
      <w:i w:val="0"/>
    </w:rPr>
  </w:style>
  <w:style w:type="character" w:customStyle="1" w:styleId="TextbodyChar">
    <w:name w:val="Text body Char"/>
    <w:basedOn w:val="DefaultParagraphFont"/>
    <w:link w:val="Textbody"/>
    <w:rsid w:val="004A2A83"/>
  </w:style>
  <w:style w:type="paragraph" w:customStyle="1" w:styleId="Rule">
    <w:name w:val="Rule"/>
    <w:basedOn w:val="ListParagraph"/>
    <w:link w:val="RuleChar"/>
    <w:rsid w:val="004A2A83"/>
    <w:pPr>
      <w:ind w:left="0"/>
    </w:pPr>
    <w:rPr>
      <w:b/>
    </w:rPr>
  </w:style>
  <w:style w:type="character" w:customStyle="1" w:styleId="RuleChar">
    <w:name w:val="Rule Char"/>
    <w:basedOn w:val="DefaultParagraphFont"/>
    <w:link w:val="Rule"/>
    <w:rsid w:val="004A2A83"/>
    <w:rPr>
      <w:b/>
    </w:rPr>
  </w:style>
  <w:style w:type="paragraph" w:styleId="ListParagraph">
    <w:name w:val="List Paragraph"/>
    <w:basedOn w:val="Normal"/>
    <w:uiPriority w:val="34"/>
    <w:rsid w:val="0013082D"/>
    <w:pPr>
      <w:ind w:left="720"/>
      <w:contextualSpacing/>
    </w:pPr>
  </w:style>
  <w:style w:type="paragraph" w:customStyle="1" w:styleId="Introduction">
    <w:name w:val="Introduction"/>
    <w:basedOn w:val="Normal"/>
    <w:link w:val="IntroductionChar"/>
    <w:rsid w:val="004A2A83"/>
    <w:pPr>
      <w:jc w:val="both"/>
    </w:pPr>
  </w:style>
  <w:style w:type="character" w:customStyle="1" w:styleId="IntroductionChar">
    <w:name w:val="Introduction Char"/>
    <w:basedOn w:val="DefaultParagraphFont"/>
    <w:link w:val="Introduction"/>
    <w:rsid w:val="004A2A83"/>
  </w:style>
  <w:style w:type="paragraph" w:customStyle="1" w:styleId="Principle">
    <w:name w:val="Principle"/>
    <w:basedOn w:val="Normal"/>
    <w:link w:val="PrincipleChar"/>
    <w:rsid w:val="004A2A83"/>
    <w:pPr>
      <w:ind w:left="720"/>
      <w:jc w:val="both"/>
    </w:pPr>
    <w:rPr>
      <w:i/>
    </w:rPr>
  </w:style>
  <w:style w:type="character" w:customStyle="1" w:styleId="PrincipleChar">
    <w:name w:val="Principle Char"/>
    <w:basedOn w:val="RuleChar"/>
    <w:link w:val="Principle"/>
    <w:rsid w:val="004A2A83"/>
    <w:rPr>
      <w:b w:val="0"/>
      <w:i/>
    </w:rPr>
  </w:style>
  <w:style w:type="paragraph" w:customStyle="1" w:styleId="5Supporttext">
    <w:name w:val="5. Support text"/>
    <w:basedOn w:val="3Principle"/>
    <w:link w:val="5SupporttextChar"/>
    <w:qFormat/>
    <w:rsid w:val="00E81731"/>
    <w:rPr>
      <w:i w:val="0"/>
    </w:rPr>
  </w:style>
  <w:style w:type="character" w:customStyle="1" w:styleId="5SupporttextChar">
    <w:name w:val="5. Support text Char"/>
    <w:basedOn w:val="DefaultParagraphFont"/>
    <w:link w:val="5Supporttext"/>
    <w:rsid w:val="00E81731"/>
  </w:style>
  <w:style w:type="paragraph" w:customStyle="1" w:styleId="2Question">
    <w:name w:val="2. Question"/>
    <w:basedOn w:val="ListParagraph"/>
    <w:link w:val="2QuestionChar"/>
    <w:qFormat/>
    <w:rsid w:val="00E81731"/>
    <w:pPr>
      <w:numPr>
        <w:numId w:val="3"/>
      </w:numPr>
      <w:ind w:left="720"/>
    </w:pPr>
    <w:rPr>
      <w:b/>
    </w:rPr>
  </w:style>
  <w:style w:type="character" w:customStyle="1" w:styleId="2QuestionChar">
    <w:name w:val="2. Question Char"/>
    <w:basedOn w:val="DefaultParagraphFont"/>
    <w:link w:val="2Question"/>
    <w:rsid w:val="00E81731"/>
    <w:rPr>
      <w:b/>
    </w:rPr>
  </w:style>
  <w:style w:type="paragraph" w:customStyle="1" w:styleId="1ChapterHeading">
    <w:name w:val="1. Chapter Heading"/>
    <w:basedOn w:val="Normal"/>
    <w:link w:val="1ChapterHeadingChar"/>
    <w:qFormat/>
    <w:rsid w:val="00E81731"/>
    <w:rPr>
      <w:b/>
      <w:bCs/>
      <w:sz w:val="32"/>
      <w:szCs w:val="32"/>
    </w:rPr>
  </w:style>
  <w:style w:type="character" w:customStyle="1" w:styleId="1ChapterHeadingChar">
    <w:name w:val="1. Chapter Heading Char"/>
    <w:basedOn w:val="DefaultParagraphFont"/>
    <w:link w:val="1ChapterHeading"/>
    <w:rsid w:val="00E81731"/>
    <w:rPr>
      <w:b/>
      <w:bCs/>
      <w:sz w:val="32"/>
      <w:szCs w:val="32"/>
    </w:rPr>
  </w:style>
  <w:style w:type="paragraph" w:customStyle="1" w:styleId="4Introduction">
    <w:name w:val="4. Introduction"/>
    <w:basedOn w:val="Normal"/>
    <w:link w:val="4IntroductionChar"/>
    <w:qFormat/>
    <w:rsid w:val="00E81731"/>
    <w:pPr>
      <w:jc w:val="both"/>
    </w:pPr>
  </w:style>
  <w:style w:type="character" w:customStyle="1" w:styleId="4IntroductionChar">
    <w:name w:val="4. Introduction Char"/>
    <w:basedOn w:val="DefaultParagraphFont"/>
    <w:link w:val="4Introduction"/>
    <w:rsid w:val="00E81731"/>
  </w:style>
  <w:style w:type="paragraph" w:customStyle="1" w:styleId="3Principle">
    <w:name w:val="3. Principle"/>
    <w:basedOn w:val="Normal"/>
    <w:link w:val="3PrincipleChar"/>
    <w:qFormat/>
    <w:rsid w:val="00E81731"/>
    <w:pPr>
      <w:ind w:left="720"/>
      <w:jc w:val="both"/>
    </w:pPr>
    <w:rPr>
      <w:i/>
    </w:rPr>
  </w:style>
  <w:style w:type="character" w:customStyle="1" w:styleId="3PrincipleChar">
    <w:name w:val="3. Principle Char"/>
    <w:basedOn w:val="2QuestionChar"/>
    <w:link w:val="3Principle"/>
    <w:rsid w:val="00E81731"/>
    <w:rPr>
      <w:b w:val="0"/>
      <w:i/>
    </w:rPr>
  </w:style>
  <w:style w:type="character" w:customStyle="1" w:styleId="Heading3Char">
    <w:name w:val="Heading 3 Char"/>
    <w:basedOn w:val="DefaultParagraphFont"/>
    <w:link w:val="Heading3"/>
    <w:uiPriority w:val="9"/>
    <w:semiHidden/>
    <w:rsid w:val="00E8173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8173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8173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8173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8173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173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8173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81731"/>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E8173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81731"/>
    <w:pPr>
      <w:outlineLvl w:val="9"/>
    </w:pPr>
  </w:style>
  <w:style w:type="table" w:styleId="TableGrid">
    <w:name w:val="Table Grid"/>
    <w:basedOn w:val="TableNormal"/>
    <w:uiPriority w:val="59"/>
    <w:rsid w:val="00E35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0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1EC"/>
  </w:style>
  <w:style w:type="paragraph" w:styleId="Footer">
    <w:name w:val="footer"/>
    <w:basedOn w:val="Normal"/>
    <w:link w:val="FooterChar"/>
    <w:uiPriority w:val="99"/>
    <w:unhideWhenUsed/>
    <w:rsid w:val="00080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1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E817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817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173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173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817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173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173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173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Principle"/>
    <w:link w:val="TextbodyChar"/>
    <w:rsid w:val="004A2A83"/>
    <w:rPr>
      <w:i w:val="0"/>
    </w:rPr>
  </w:style>
  <w:style w:type="character" w:customStyle="1" w:styleId="TextbodyChar">
    <w:name w:val="Text body Char"/>
    <w:basedOn w:val="DefaultParagraphFont"/>
    <w:link w:val="Textbody"/>
    <w:rsid w:val="004A2A83"/>
  </w:style>
  <w:style w:type="paragraph" w:customStyle="1" w:styleId="Rule">
    <w:name w:val="Rule"/>
    <w:basedOn w:val="ListParagraph"/>
    <w:link w:val="RuleChar"/>
    <w:rsid w:val="004A2A83"/>
    <w:pPr>
      <w:ind w:left="0"/>
    </w:pPr>
    <w:rPr>
      <w:b/>
    </w:rPr>
  </w:style>
  <w:style w:type="character" w:customStyle="1" w:styleId="RuleChar">
    <w:name w:val="Rule Char"/>
    <w:basedOn w:val="DefaultParagraphFont"/>
    <w:link w:val="Rule"/>
    <w:rsid w:val="004A2A83"/>
    <w:rPr>
      <w:b/>
    </w:rPr>
  </w:style>
  <w:style w:type="paragraph" w:styleId="ListParagraph">
    <w:name w:val="List Paragraph"/>
    <w:basedOn w:val="Normal"/>
    <w:uiPriority w:val="34"/>
    <w:rsid w:val="0013082D"/>
    <w:pPr>
      <w:ind w:left="720"/>
      <w:contextualSpacing/>
    </w:pPr>
  </w:style>
  <w:style w:type="paragraph" w:customStyle="1" w:styleId="Introduction">
    <w:name w:val="Introduction"/>
    <w:basedOn w:val="Normal"/>
    <w:link w:val="IntroductionChar"/>
    <w:rsid w:val="004A2A83"/>
    <w:pPr>
      <w:jc w:val="both"/>
    </w:pPr>
  </w:style>
  <w:style w:type="character" w:customStyle="1" w:styleId="IntroductionChar">
    <w:name w:val="Introduction Char"/>
    <w:basedOn w:val="DefaultParagraphFont"/>
    <w:link w:val="Introduction"/>
    <w:rsid w:val="004A2A83"/>
  </w:style>
  <w:style w:type="paragraph" w:customStyle="1" w:styleId="Principle">
    <w:name w:val="Principle"/>
    <w:basedOn w:val="Normal"/>
    <w:link w:val="PrincipleChar"/>
    <w:rsid w:val="004A2A83"/>
    <w:pPr>
      <w:ind w:left="720"/>
      <w:jc w:val="both"/>
    </w:pPr>
    <w:rPr>
      <w:i/>
    </w:rPr>
  </w:style>
  <w:style w:type="character" w:customStyle="1" w:styleId="PrincipleChar">
    <w:name w:val="Principle Char"/>
    <w:basedOn w:val="RuleChar"/>
    <w:link w:val="Principle"/>
    <w:rsid w:val="004A2A83"/>
    <w:rPr>
      <w:b w:val="0"/>
      <w:i/>
    </w:rPr>
  </w:style>
  <w:style w:type="paragraph" w:customStyle="1" w:styleId="5Supporttext">
    <w:name w:val="5. Support text"/>
    <w:basedOn w:val="3Principle"/>
    <w:link w:val="5SupporttextChar"/>
    <w:qFormat/>
    <w:rsid w:val="00E81731"/>
    <w:rPr>
      <w:i w:val="0"/>
    </w:rPr>
  </w:style>
  <w:style w:type="character" w:customStyle="1" w:styleId="5SupporttextChar">
    <w:name w:val="5. Support text Char"/>
    <w:basedOn w:val="DefaultParagraphFont"/>
    <w:link w:val="5Supporttext"/>
    <w:rsid w:val="00E81731"/>
  </w:style>
  <w:style w:type="paragraph" w:customStyle="1" w:styleId="2Question">
    <w:name w:val="2. Question"/>
    <w:basedOn w:val="ListParagraph"/>
    <w:link w:val="2QuestionChar"/>
    <w:qFormat/>
    <w:rsid w:val="00E81731"/>
    <w:pPr>
      <w:numPr>
        <w:numId w:val="3"/>
      </w:numPr>
      <w:ind w:left="720"/>
    </w:pPr>
    <w:rPr>
      <w:b/>
    </w:rPr>
  </w:style>
  <w:style w:type="character" w:customStyle="1" w:styleId="2QuestionChar">
    <w:name w:val="2. Question Char"/>
    <w:basedOn w:val="DefaultParagraphFont"/>
    <w:link w:val="2Question"/>
    <w:rsid w:val="00E81731"/>
    <w:rPr>
      <w:b/>
    </w:rPr>
  </w:style>
  <w:style w:type="paragraph" w:customStyle="1" w:styleId="1ChapterHeading">
    <w:name w:val="1. Chapter Heading"/>
    <w:basedOn w:val="Normal"/>
    <w:link w:val="1ChapterHeadingChar"/>
    <w:qFormat/>
    <w:rsid w:val="00E81731"/>
    <w:rPr>
      <w:b/>
      <w:bCs/>
      <w:sz w:val="32"/>
      <w:szCs w:val="32"/>
    </w:rPr>
  </w:style>
  <w:style w:type="character" w:customStyle="1" w:styleId="1ChapterHeadingChar">
    <w:name w:val="1. Chapter Heading Char"/>
    <w:basedOn w:val="DefaultParagraphFont"/>
    <w:link w:val="1ChapterHeading"/>
    <w:rsid w:val="00E81731"/>
    <w:rPr>
      <w:b/>
      <w:bCs/>
      <w:sz w:val="32"/>
      <w:szCs w:val="32"/>
    </w:rPr>
  </w:style>
  <w:style w:type="paragraph" w:customStyle="1" w:styleId="4Introduction">
    <w:name w:val="4. Introduction"/>
    <w:basedOn w:val="Normal"/>
    <w:link w:val="4IntroductionChar"/>
    <w:qFormat/>
    <w:rsid w:val="00E81731"/>
    <w:pPr>
      <w:jc w:val="both"/>
    </w:pPr>
  </w:style>
  <w:style w:type="character" w:customStyle="1" w:styleId="4IntroductionChar">
    <w:name w:val="4. Introduction Char"/>
    <w:basedOn w:val="DefaultParagraphFont"/>
    <w:link w:val="4Introduction"/>
    <w:rsid w:val="00E81731"/>
  </w:style>
  <w:style w:type="paragraph" w:customStyle="1" w:styleId="3Principle">
    <w:name w:val="3. Principle"/>
    <w:basedOn w:val="Normal"/>
    <w:link w:val="3PrincipleChar"/>
    <w:qFormat/>
    <w:rsid w:val="00E81731"/>
    <w:pPr>
      <w:ind w:left="720"/>
      <w:jc w:val="both"/>
    </w:pPr>
    <w:rPr>
      <w:i/>
    </w:rPr>
  </w:style>
  <w:style w:type="character" w:customStyle="1" w:styleId="3PrincipleChar">
    <w:name w:val="3. Principle Char"/>
    <w:basedOn w:val="2QuestionChar"/>
    <w:link w:val="3Principle"/>
    <w:rsid w:val="00E81731"/>
    <w:rPr>
      <w:b w:val="0"/>
      <w:i/>
    </w:rPr>
  </w:style>
  <w:style w:type="character" w:customStyle="1" w:styleId="Heading3Char">
    <w:name w:val="Heading 3 Char"/>
    <w:basedOn w:val="DefaultParagraphFont"/>
    <w:link w:val="Heading3"/>
    <w:uiPriority w:val="9"/>
    <w:semiHidden/>
    <w:rsid w:val="00E8173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8173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8173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8173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8173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173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8173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81731"/>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E8173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81731"/>
    <w:pPr>
      <w:outlineLvl w:val="9"/>
    </w:pPr>
  </w:style>
  <w:style w:type="table" w:styleId="TableGrid">
    <w:name w:val="Table Grid"/>
    <w:basedOn w:val="TableNormal"/>
    <w:uiPriority w:val="59"/>
    <w:rsid w:val="00E35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0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1EC"/>
  </w:style>
  <w:style w:type="paragraph" w:styleId="Footer">
    <w:name w:val="footer"/>
    <w:basedOn w:val="Normal"/>
    <w:link w:val="FooterChar"/>
    <w:uiPriority w:val="99"/>
    <w:unhideWhenUsed/>
    <w:rsid w:val="00080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37BEC-7895-403A-8B3D-99D723D6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7F25DBC0</Template>
  <TotalTime>1</TotalTime>
  <Pages>15</Pages>
  <Words>2658</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Rossiter</dc:creator>
  <cp:lastModifiedBy>Adam Rossiter</cp:lastModifiedBy>
  <cp:revision>2</cp:revision>
  <cp:lastPrinted>2014-12-16T02:48:00Z</cp:lastPrinted>
  <dcterms:created xsi:type="dcterms:W3CDTF">2014-12-17T03:01:00Z</dcterms:created>
  <dcterms:modified xsi:type="dcterms:W3CDTF">2014-12-17T03:01:00Z</dcterms:modified>
</cp:coreProperties>
</file>